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36030C" w14:textId="2DA169DF" w:rsidR="00D41EE3" w:rsidRPr="0028560A" w:rsidRDefault="00D41EE3" w:rsidP="00D41EE3">
      <w:pPr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  <w:noProof/>
        </w:rPr>
        <w:drawing>
          <wp:inline distT="0" distB="0" distL="0" distR="0" wp14:anchorId="0737F81C" wp14:editId="6FF5393A">
            <wp:extent cx="990600" cy="9906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F91A9" w14:textId="77777777" w:rsidR="00D41EE3" w:rsidRPr="0028560A" w:rsidRDefault="00D41EE3" w:rsidP="00D41EE3">
      <w:pPr>
        <w:rPr>
          <w:rFonts w:asciiTheme="minorHAnsi" w:hAnsiTheme="minorHAnsi" w:cstheme="minorHAnsi"/>
        </w:rPr>
      </w:pPr>
    </w:p>
    <w:p w14:paraId="6E240A56" w14:textId="77777777" w:rsidR="00D41EE3" w:rsidRPr="0028560A" w:rsidRDefault="00D41EE3" w:rsidP="00D41EE3">
      <w:pPr>
        <w:rPr>
          <w:rFonts w:asciiTheme="minorHAnsi" w:hAnsiTheme="minorHAnsi" w:cstheme="minorHAnsi"/>
        </w:rPr>
      </w:pPr>
    </w:p>
    <w:p w14:paraId="77AD6E83" w14:textId="77777777" w:rsidR="00D41EE3" w:rsidRPr="0028560A" w:rsidRDefault="00D41EE3" w:rsidP="00D41EE3">
      <w:pPr>
        <w:rPr>
          <w:rFonts w:asciiTheme="minorHAnsi" w:hAnsiTheme="minorHAnsi" w:cstheme="minorHAnsi"/>
        </w:rPr>
      </w:pPr>
    </w:p>
    <w:p w14:paraId="53759FBC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627DCAC8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0ED9528B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  <w:r w:rsidRPr="0028560A">
        <w:rPr>
          <w:rFonts w:asciiTheme="minorHAnsi" w:hAnsiTheme="minorHAnsi" w:cstheme="minorHAnsi"/>
        </w:rPr>
        <w:tab/>
      </w:r>
    </w:p>
    <w:p w14:paraId="424069F3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3C2D65BF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34A51B64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3D189E59" w14:textId="77777777" w:rsidR="00D41EE3" w:rsidRPr="0028560A" w:rsidRDefault="00D41EE3" w:rsidP="00D41EE3">
      <w:pPr>
        <w:jc w:val="both"/>
        <w:rPr>
          <w:rFonts w:asciiTheme="minorHAnsi" w:hAnsiTheme="minorHAnsi" w:cstheme="minorHAnsi"/>
        </w:rPr>
      </w:pPr>
    </w:p>
    <w:p w14:paraId="0E73A9C4" w14:textId="09463243" w:rsidR="00D41EE3" w:rsidRPr="0028560A" w:rsidRDefault="006F7C1E" w:rsidP="00D41EE3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>
        <w:rPr>
          <w:rFonts w:asciiTheme="minorHAnsi" w:hAnsiTheme="minorHAnsi" w:cstheme="minorHAnsi"/>
          <w:b/>
          <w:bCs/>
          <w:sz w:val="40"/>
          <w:szCs w:val="40"/>
        </w:rPr>
        <w:t xml:space="preserve">POLUGODIŠNJI </w:t>
      </w:r>
      <w:r w:rsidR="00D41EE3" w:rsidRPr="0028560A">
        <w:rPr>
          <w:rFonts w:asciiTheme="minorHAnsi" w:hAnsiTheme="minorHAnsi" w:cstheme="minorHAnsi"/>
          <w:b/>
          <w:bCs/>
          <w:sz w:val="40"/>
          <w:szCs w:val="40"/>
        </w:rPr>
        <w:t>IZVJEŠTAJ O IZVRŠENJU</w:t>
      </w:r>
    </w:p>
    <w:p w14:paraId="747FA00F" w14:textId="3FD65C3E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FINANCIJSKOG PLANA</w:t>
      </w:r>
    </w:p>
    <w:p w14:paraId="5F2C5695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HRVATSKOG NARODNOG KAZALIŠTA</w:t>
      </w:r>
    </w:p>
    <w:p w14:paraId="43028B23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 xml:space="preserve">U ŠIBENIKU </w:t>
      </w:r>
    </w:p>
    <w:p w14:paraId="53A0A4F7" w14:textId="76E10B44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b/>
          <w:bCs/>
          <w:sz w:val="40"/>
          <w:szCs w:val="40"/>
        </w:rPr>
      </w:pPr>
      <w:r w:rsidRPr="0028560A">
        <w:rPr>
          <w:rFonts w:asciiTheme="minorHAnsi" w:hAnsiTheme="minorHAnsi" w:cstheme="minorHAnsi"/>
          <w:b/>
          <w:bCs/>
          <w:sz w:val="40"/>
          <w:szCs w:val="40"/>
        </w:rPr>
        <w:t>ZA 202</w:t>
      </w:r>
      <w:r w:rsidR="003D5A40">
        <w:rPr>
          <w:rFonts w:asciiTheme="minorHAnsi" w:hAnsiTheme="minorHAnsi" w:cstheme="minorHAnsi"/>
          <w:b/>
          <w:bCs/>
          <w:sz w:val="40"/>
          <w:szCs w:val="40"/>
        </w:rPr>
        <w:t>4</w:t>
      </w:r>
      <w:r w:rsidRPr="0028560A">
        <w:rPr>
          <w:rFonts w:asciiTheme="minorHAnsi" w:hAnsiTheme="minorHAnsi" w:cstheme="minorHAnsi"/>
          <w:b/>
          <w:bCs/>
          <w:sz w:val="40"/>
          <w:szCs w:val="40"/>
        </w:rPr>
        <w:t>. GODINU</w:t>
      </w:r>
    </w:p>
    <w:p w14:paraId="02FD6BCC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sz w:val="32"/>
          <w:szCs w:val="32"/>
        </w:rPr>
      </w:pPr>
    </w:p>
    <w:p w14:paraId="4F1D35AB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2EA0C2AE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68596AB8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4960090F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044853BA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65C0C0CA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2EB0E465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5336B674" w14:textId="77777777" w:rsidR="00D41EE3" w:rsidRPr="0028560A" w:rsidRDefault="00D41EE3" w:rsidP="00D41EE3">
      <w:pPr>
        <w:spacing w:line="360" w:lineRule="auto"/>
        <w:jc w:val="center"/>
        <w:rPr>
          <w:rFonts w:asciiTheme="minorHAnsi" w:hAnsiTheme="minorHAnsi" w:cstheme="minorHAnsi"/>
          <w:i/>
          <w:iCs/>
          <w:sz w:val="32"/>
          <w:szCs w:val="32"/>
        </w:rPr>
      </w:pPr>
    </w:p>
    <w:p w14:paraId="6A955E1E" w14:textId="7ACA1211" w:rsidR="00D41EE3" w:rsidRPr="0028560A" w:rsidRDefault="00D41EE3" w:rsidP="0028560A">
      <w:pPr>
        <w:spacing w:line="360" w:lineRule="auto"/>
        <w:jc w:val="center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 xml:space="preserve">Šibenik, </w:t>
      </w:r>
      <w:r w:rsidR="003D5A40">
        <w:rPr>
          <w:rFonts w:asciiTheme="minorHAnsi" w:hAnsiTheme="minorHAnsi" w:cstheme="minorHAnsi"/>
        </w:rPr>
        <w:t>29</w:t>
      </w:r>
      <w:r w:rsidRPr="0028560A">
        <w:rPr>
          <w:rFonts w:asciiTheme="minorHAnsi" w:hAnsiTheme="minorHAnsi" w:cstheme="minorHAnsi"/>
        </w:rPr>
        <w:t xml:space="preserve">. </w:t>
      </w:r>
      <w:r w:rsidR="006F7C1E">
        <w:rPr>
          <w:rFonts w:asciiTheme="minorHAnsi" w:hAnsiTheme="minorHAnsi" w:cstheme="minorHAnsi"/>
        </w:rPr>
        <w:t>srpnja</w:t>
      </w:r>
      <w:r w:rsidRPr="0028560A">
        <w:rPr>
          <w:rFonts w:asciiTheme="minorHAnsi" w:hAnsiTheme="minorHAnsi" w:cstheme="minorHAnsi"/>
        </w:rPr>
        <w:t xml:space="preserve"> 202</w:t>
      </w:r>
      <w:r w:rsidR="003D5A40">
        <w:rPr>
          <w:rFonts w:asciiTheme="minorHAnsi" w:hAnsiTheme="minorHAnsi" w:cstheme="minorHAnsi"/>
        </w:rPr>
        <w:t>4</w:t>
      </w:r>
      <w:r w:rsidRPr="0028560A">
        <w:rPr>
          <w:rFonts w:asciiTheme="minorHAnsi" w:hAnsiTheme="minorHAnsi" w:cstheme="minorHAnsi"/>
        </w:rPr>
        <w:t>.</w:t>
      </w:r>
    </w:p>
    <w:p w14:paraId="752D0B8D" w14:textId="45E85FB5" w:rsidR="00D41EE3" w:rsidRPr="00736BD9" w:rsidRDefault="00736BD9" w:rsidP="00736BD9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736BD9">
        <w:rPr>
          <w:rFonts w:asciiTheme="minorHAnsi" w:hAnsiTheme="minorHAnsi" w:cstheme="minorHAnsi"/>
          <w:b/>
          <w:bCs/>
        </w:rPr>
        <w:lastRenderedPageBreak/>
        <w:t>STRUKTURA POLUGODIŠNJEG IZVJEŠTAJA O IZVRŠENJU FINANCIJSKOG PLANA HRVATSKOG NARODNOG KAZALIŠTA U ŠIBENIKU ZA 202</w:t>
      </w:r>
      <w:r w:rsidR="003D5A40">
        <w:rPr>
          <w:rFonts w:asciiTheme="minorHAnsi" w:hAnsiTheme="minorHAnsi" w:cstheme="minorHAnsi"/>
          <w:b/>
          <w:bCs/>
        </w:rPr>
        <w:t>4</w:t>
      </w:r>
      <w:r w:rsidRPr="00736BD9">
        <w:rPr>
          <w:rFonts w:asciiTheme="minorHAnsi" w:hAnsiTheme="minorHAnsi" w:cstheme="minorHAnsi"/>
          <w:b/>
          <w:bCs/>
        </w:rPr>
        <w:t>. GODINU</w:t>
      </w:r>
    </w:p>
    <w:p w14:paraId="0EAFF5F1" w14:textId="77777777" w:rsidR="00D41EE3" w:rsidRPr="0028560A" w:rsidRDefault="00D41EE3" w:rsidP="00D41EE3">
      <w:pPr>
        <w:spacing w:line="276" w:lineRule="auto"/>
        <w:jc w:val="both"/>
        <w:rPr>
          <w:rFonts w:asciiTheme="minorHAnsi" w:hAnsiTheme="minorHAnsi" w:cstheme="minorHAnsi"/>
        </w:rPr>
      </w:pPr>
    </w:p>
    <w:p w14:paraId="6622AA2A" w14:textId="43957A42" w:rsidR="00D41EE3" w:rsidRDefault="00736BD9" w:rsidP="00D41EE3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Polugodišnji izvještaj o izvršenju Financijskog plana Hrvatskog narodnog kazališta u Šibeniku za 202</w:t>
      </w:r>
      <w:r w:rsidR="003D5A40">
        <w:rPr>
          <w:rFonts w:asciiTheme="minorHAnsi" w:hAnsiTheme="minorHAnsi" w:cstheme="minorHAnsi"/>
        </w:rPr>
        <w:t>4</w:t>
      </w:r>
      <w:r>
        <w:rPr>
          <w:rFonts w:asciiTheme="minorHAnsi" w:hAnsiTheme="minorHAnsi" w:cstheme="minorHAnsi"/>
        </w:rPr>
        <w:t>. godinu sastavljen je temeljem Pravilnika o polugodišnjem i godišnjem izvještaju o izvršenju proračuna i financijskog plana („Narodne novine br. 85/23.) te sadrži:</w:t>
      </w:r>
    </w:p>
    <w:p w14:paraId="4E2CCDBF" w14:textId="616AC8CD" w:rsidR="00736BD9" w:rsidRDefault="00736BD9" w:rsidP="00736B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OPĆI DIO</w:t>
      </w:r>
    </w:p>
    <w:p w14:paraId="7F1D1DF1" w14:textId="49ED15E9" w:rsidR="00736BD9" w:rsidRDefault="00736BD9" w:rsidP="00736BD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Sažetak prihoda i rashoda i računa financiranja</w:t>
      </w:r>
    </w:p>
    <w:p w14:paraId="48126EF7" w14:textId="586C23C8" w:rsidR="00736BD9" w:rsidRDefault="00736BD9" w:rsidP="00736BD9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Račun prihoda i rashoda</w:t>
      </w:r>
    </w:p>
    <w:p w14:paraId="34FA5A6A" w14:textId="2C31F2A6" w:rsidR="00736BD9" w:rsidRDefault="00736BD9" w:rsidP="00736BD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prihodima i rashodima prema ekonomskoj klasifikaciji</w:t>
      </w:r>
    </w:p>
    <w:p w14:paraId="2D8407D2" w14:textId="6D68FE92" w:rsidR="00736BD9" w:rsidRDefault="00736BD9" w:rsidP="00736BD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prihodima i rashodima prema izvorima financiranja</w:t>
      </w:r>
    </w:p>
    <w:p w14:paraId="0FDE358E" w14:textId="0F3FE31A" w:rsidR="00736BD9" w:rsidRDefault="00736BD9" w:rsidP="00736BD9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rashodima prema funkcijskoj klasifikaciji</w:t>
      </w:r>
    </w:p>
    <w:p w14:paraId="685F38B4" w14:textId="7E2B5014" w:rsidR="00736BD9" w:rsidRDefault="00736BD9" w:rsidP="00736B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POSEBNI DIO</w:t>
      </w:r>
    </w:p>
    <w:p w14:paraId="0A643A23" w14:textId="412E8409" w:rsidR="00736BD9" w:rsidRDefault="00736BD9" w:rsidP="00736BD9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po programskoj klasifikaciji</w:t>
      </w:r>
    </w:p>
    <w:p w14:paraId="0CF5E123" w14:textId="5013BF54" w:rsidR="00736BD9" w:rsidRDefault="00736BD9" w:rsidP="00736BD9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</w:t>
      </w:r>
    </w:p>
    <w:p w14:paraId="2D59C8CB" w14:textId="577CE860" w:rsidR="00736BD9" w:rsidRDefault="003E7E4E" w:rsidP="003E7E4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ostvarenja prihoda i rashoda, primitaka i izdataka</w:t>
      </w:r>
    </w:p>
    <w:p w14:paraId="021DD1D3" w14:textId="40D1756B" w:rsidR="003E7E4E" w:rsidRDefault="003E7E4E" w:rsidP="003E7E4E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Obrazloženje posebnog dijela izvještaja o izvršenju financijskog plana proračunskog korisnika</w:t>
      </w:r>
    </w:p>
    <w:p w14:paraId="0DC6744C" w14:textId="158C814C" w:rsidR="003E7E4E" w:rsidRDefault="003E7E4E" w:rsidP="003E7E4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POSEBNI IZVJEŠTAJI</w:t>
      </w:r>
    </w:p>
    <w:p w14:paraId="6C52BB74" w14:textId="744EF261" w:rsidR="003E7E4E" w:rsidRDefault="003E7E4E" w:rsidP="003E7E4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zaduživanju na domaćem i stranom tržištu novca i kapitala</w:t>
      </w:r>
    </w:p>
    <w:p w14:paraId="2EB0DAB3" w14:textId="064988A6" w:rsidR="003E7E4E" w:rsidRDefault="003E7E4E" w:rsidP="003E7E4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korištenju sredstava fondova Europske unije</w:t>
      </w:r>
    </w:p>
    <w:p w14:paraId="3D34346A" w14:textId="4759CFB6" w:rsidR="003E7E4E" w:rsidRDefault="003E7E4E" w:rsidP="003E7E4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danim zajmovima i potraživanjima po danim zajmovima</w:t>
      </w:r>
    </w:p>
    <w:p w14:paraId="315676F2" w14:textId="72C122E4" w:rsidR="003E7E4E" w:rsidRPr="00736BD9" w:rsidRDefault="003E7E4E" w:rsidP="003E7E4E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Izvještaj o stanju potraživanja i dospjelih obveza te o stanju potencijalnih obveza po osnovi sudskih sporova</w:t>
      </w:r>
    </w:p>
    <w:p w14:paraId="01B48745" w14:textId="05B60822" w:rsidR="00D41EE3" w:rsidRPr="0028560A" w:rsidRDefault="00D41EE3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3362BE52" w14:textId="0E6C06E9" w:rsidR="00D41EE3" w:rsidRPr="0028560A" w:rsidRDefault="00D41EE3" w:rsidP="00D41EE3">
      <w:pPr>
        <w:spacing w:line="360" w:lineRule="auto"/>
        <w:jc w:val="both"/>
        <w:rPr>
          <w:rFonts w:asciiTheme="minorHAnsi" w:hAnsiTheme="minorHAnsi" w:cstheme="minorHAnsi"/>
        </w:rPr>
      </w:pPr>
      <w:r w:rsidRPr="0028560A">
        <w:rPr>
          <w:rFonts w:asciiTheme="minorHAnsi" w:hAnsiTheme="minorHAnsi" w:cstheme="minorHAnsi"/>
        </w:rPr>
        <w:t xml:space="preserve">U nastavku se daje </w:t>
      </w:r>
      <w:r w:rsidR="003E7E4E">
        <w:rPr>
          <w:rFonts w:asciiTheme="minorHAnsi" w:hAnsiTheme="minorHAnsi" w:cstheme="minorHAnsi"/>
        </w:rPr>
        <w:t>cjelokupni pregled polugodišnjeg izvršenja.</w:t>
      </w:r>
    </w:p>
    <w:p w14:paraId="4D05B978" w14:textId="6FA90676" w:rsidR="00D41EE3" w:rsidRPr="0028560A" w:rsidRDefault="00D41EE3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4269BCDA" w14:textId="1DA01909" w:rsidR="00D41EE3" w:rsidRDefault="00D41EE3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21ED2305" w14:textId="21654BDD" w:rsidR="0028560A" w:rsidRDefault="0028560A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461C16FB" w14:textId="77777777" w:rsidR="0028560A" w:rsidRDefault="0028560A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1A2A71C6" w14:textId="77777777" w:rsidR="003E7E4E" w:rsidRPr="0028560A" w:rsidRDefault="003E7E4E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1DF0A488" w14:textId="77777777" w:rsidR="00AC7893" w:rsidRDefault="00AC7893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69D30DDF" w14:textId="6EB6B835" w:rsidR="00AC7893" w:rsidRPr="00AC7893" w:rsidRDefault="00AC7893" w:rsidP="00AC78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7893">
        <w:rPr>
          <w:rFonts w:asciiTheme="minorHAnsi" w:hAnsiTheme="minorHAnsi" w:cstheme="minorHAnsi"/>
          <w:b/>
          <w:bCs/>
        </w:rPr>
        <w:lastRenderedPageBreak/>
        <w:t>OPĆI DIO</w:t>
      </w:r>
    </w:p>
    <w:p w14:paraId="232E9D85" w14:textId="77777777" w:rsidR="00AC7893" w:rsidRDefault="00AC7893" w:rsidP="00D41EE3">
      <w:pPr>
        <w:spacing w:line="360" w:lineRule="auto"/>
        <w:jc w:val="both"/>
        <w:rPr>
          <w:rFonts w:asciiTheme="minorHAnsi" w:hAnsiTheme="minorHAnsi" w:cstheme="minorHAnsi"/>
        </w:rPr>
      </w:pPr>
    </w:p>
    <w:p w14:paraId="2D1697EE" w14:textId="708E3B28" w:rsidR="00D41EE3" w:rsidRDefault="00AC7893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96EB1">
        <w:rPr>
          <w:rFonts w:asciiTheme="minorHAnsi" w:hAnsiTheme="minorHAnsi" w:cstheme="minorHAnsi"/>
          <w:b/>
          <w:bCs/>
        </w:rPr>
        <w:t xml:space="preserve">I.1. Sažetak prihoda i rashoda </w:t>
      </w:r>
      <w:r w:rsidR="00736BD9">
        <w:rPr>
          <w:rFonts w:asciiTheme="minorHAnsi" w:hAnsiTheme="minorHAnsi" w:cstheme="minorHAnsi"/>
          <w:b/>
          <w:bCs/>
        </w:rPr>
        <w:t>i računa financiranja</w:t>
      </w:r>
    </w:p>
    <w:p w14:paraId="2C319E6F" w14:textId="77777777" w:rsidR="003D5A40" w:rsidRDefault="003D5A40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99E9006" w14:textId="77777777" w:rsidR="003D5A40" w:rsidRDefault="003D5A40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0742" w:type="dxa"/>
        <w:tblInd w:w="-903" w:type="dxa"/>
        <w:tblLook w:val="04A0" w:firstRow="1" w:lastRow="0" w:firstColumn="1" w:lastColumn="0" w:noHBand="0" w:noVBand="1"/>
      </w:tblPr>
      <w:tblGrid>
        <w:gridCol w:w="2742"/>
        <w:gridCol w:w="1600"/>
        <w:gridCol w:w="1600"/>
        <w:gridCol w:w="1600"/>
        <w:gridCol w:w="1600"/>
        <w:gridCol w:w="1600"/>
      </w:tblGrid>
      <w:tr w:rsidR="003D5A40" w14:paraId="1CD5B0E4" w14:textId="77777777" w:rsidTr="003D5A40">
        <w:trPr>
          <w:trHeight w:val="810"/>
        </w:trPr>
        <w:tc>
          <w:tcPr>
            <w:tcW w:w="10742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2EC02845" w14:textId="77777777" w:rsidR="003D5A40" w:rsidRDefault="003D5A4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POLUGODIŠNJI IZVJEŠTAJ O IZVRŠENJU FINANCIJSKOG PLANA ZA 2024.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OPĆI DIO</w:t>
            </w:r>
          </w:p>
        </w:tc>
      </w:tr>
      <w:tr w:rsidR="003D5A40" w14:paraId="67FAA9AA" w14:textId="77777777" w:rsidTr="003D5A40">
        <w:trPr>
          <w:trHeight w:val="1452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CEFDBCA" w14:textId="77777777" w:rsidR="003D5A40" w:rsidRDefault="003D5A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PRIHODI/RASHODI TEKUĆA GODINA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8CFC0BB" w14:textId="77777777" w:rsidR="003D5A40" w:rsidRDefault="003D5A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I. izmjene i dopune plana za 2024.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4521926F" w14:textId="77777777" w:rsidR="003D5A40" w:rsidRDefault="003D5A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2023.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33FB979F" w14:textId="77777777" w:rsidR="003D5A40" w:rsidRDefault="003D5A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55F48CCC" w14:textId="77777777" w:rsidR="003D5A40" w:rsidRDefault="003D5A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21CA4661" w14:textId="77777777" w:rsidR="003D5A40" w:rsidRDefault="003D5A4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I. izmjene i dopune</w:t>
            </w:r>
          </w:p>
        </w:tc>
      </w:tr>
      <w:tr w:rsidR="003D5A40" w14:paraId="526BD2E6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64BC1F7" w14:textId="77777777" w:rsidR="003D5A40" w:rsidRDefault="003D5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UKUPNO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35CE716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E1A2656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642.908,50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5C3D8815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883.068,30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3F9A7B79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137,36%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247FB5BD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52,07%</w:t>
            </w:r>
          </w:p>
        </w:tc>
      </w:tr>
      <w:tr w:rsidR="003D5A40" w14:paraId="410FC3AE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86A716" w14:textId="77777777" w:rsidR="003D5A40" w:rsidRDefault="003D5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 Prihodi poslovanja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C4AF31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181A71E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642.908,50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F50C36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883.068,30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4E223CB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137,36%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2841B15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52,07%</w:t>
            </w:r>
          </w:p>
        </w:tc>
      </w:tr>
      <w:tr w:rsidR="003D5A40" w14:paraId="4C21E053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2B5E4" w14:textId="77777777" w:rsidR="003D5A40" w:rsidRDefault="003D5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 Prihodi od prodaje nefinancijske imovine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98B0D6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C4E6BE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D50188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A89792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6CB9BBA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3D5A40" w14:paraId="4110E329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AA79B01" w14:textId="77777777" w:rsidR="003D5A40" w:rsidRDefault="003D5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UKUPNO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AF260D0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F78D12B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580.432,11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38FD5502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797.862,19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69B30743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137,46%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142A97DE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47,04%</w:t>
            </w:r>
          </w:p>
        </w:tc>
      </w:tr>
      <w:tr w:rsidR="003D5A40" w14:paraId="50930394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7689F" w14:textId="77777777" w:rsidR="003D5A40" w:rsidRDefault="003D5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 Rashodi poslovanja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759A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1.491.000,00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9D669F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530.027,87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27694CB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680.775,57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A36D79C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128,44%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4FA476D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45,66%</w:t>
            </w:r>
          </w:p>
        </w:tc>
      </w:tr>
      <w:tr w:rsidR="003D5A40" w14:paraId="2D061B1B" w14:textId="77777777" w:rsidTr="003D5A40">
        <w:trPr>
          <w:trHeight w:val="300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FD1C95" w14:textId="77777777" w:rsidR="003D5A40" w:rsidRDefault="003D5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 Rashodi za nabavu nefinancijsku imovinu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3E5579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205.000,00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61D886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50.404,24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BC7727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E33F15B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232,30%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79BEEFE5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57,12%</w:t>
            </w:r>
          </w:p>
        </w:tc>
      </w:tr>
      <w:tr w:rsidR="003D5A40" w14:paraId="72F5A295" w14:textId="77777777" w:rsidTr="003D5A40">
        <w:trPr>
          <w:trHeight w:val="285"/>
        </w:trPr>
        <w:tc>
          <w:tcPr>
            <w:tcW w:w="2742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E4A9879" w14:textId="77777777" w:rsidR="003D5A40" w:rsidRDefault="003D5A4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RAZLIKA - VIŠAK/MANJAK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C8469A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496A53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62.476,39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F80A6AD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85.206,11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65872159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136,38%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bottom"/>
            <w:hideMark/>
          </w:tcPr>
          <w:p w14:paraId="0C173FC2" w14:textId="77777777" w:rsidR="003D5A40" w:rsidRDefault="003D5A4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</w:tbl>
    <w:p w14:paraId="6F9F67A8" w14:textId="77777777" w:rsidR="00124F63" w:rsidRDefault="00124F63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C80F255" w14:textId="77777777" w:rsidR="00D46E51" w:rsidRDefault="00D46E51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D1D1332" w14:textId="77777777" w:rsidR="003D5A40" w:rsidRDefault="003D5A40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4FB6AD3" w14:textId="77777777" w:rsidR="003D5A40" w:rsidRPr="00896EB1" w:rsidRDefault="003D5A40" w:rsidP="00D41EE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F560D8B" w14:textId="77777777" w:rsidR="00D46E51" w:rsidRDefault="00D46E51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763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6"/>
        <w:gridCol w:w="1991"/>
        <w:gridCol w:w="1985"/>
      </w:tblGrid>
      <w:tr w:rsidR="00736BD9" w14:paraId="3808CA15" w14:textId="77777777" w:rsidTr="00463DA1">
        <w:trPr>
          <w:trHeight w:val="1455"/>
        </w:trPr>
        <w:tc>
          <w:tcPr>
            <w:tcW w:w="3656" w:type="dxa"/>
            <w:shd w:val="clear" w:color="000000" w:fill="FFEB9C"/>
            <w:noWrap/>
            <w:vAlign w:val="center"/>
            <w:hideMark/>
          </w:tcPr>
          <w:p w14:paraId="0990E9B7" w14:textId="77777777" w:rsidR="00736BD9" w:rsidRDefault="00736B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en-GB" w:eastAsia="en-GB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ODNOS/DONOS</w:t>
            </w:r>
          </w:p>
        </w:tc>
        <w:tc>
          <w:tcPr>
            <w:tcW w:w="1991" w:type="dxa"/>
            <w:shd w:val="clear" w:color="000000" w:fill="FFEB9C"/>
            <w:vAlign w:val="center"/>
            <w:hideMark/>
          </w:tcPr>
          <w:p w14:paraId="1762C7CE" w14:textId="6B001963" w:rsidR="00736BD9" w:rsidRDefault="00736B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I. izmjene i dopune plana za 202</w:t>
            </w:r>
            <w:r w:rsidR="003D5A40"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1985" w:type="dxa"/>
            <w:shd w:val="clear" w:color="000000" w:fill="FFEB9C"/>
            <w:vAlign w:val="center"/>
            <w:hideMark/>
          </w:tcPr>
          <w:p w14:paraId="4397F7C3" w14:textId="77777777" w:rsidR="00736BD9" w:rsidRDefault="00736BD9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</w:tr>
      <w:tr w:rsidR="00736BD9" w14:paraId="08DCDA0C" w14:textId="77777777" w:rsidTr="00463DA1">
        <w:trPr>
          <w:trHeight w:val="300"/>
        </w:trPr>
        <w:tc>
          <w:tcPr>
            <w:tcW w:w="3656" w:type="dxa"/>
            <w:shd w:val="clear" w:color="auto" w:fill="auto"/>
            <w:noWrap/>
            <w:vAlign w:val="bottom"/>
            <w:hideMark/>
          </w:tcPr>
          <w:p w14:paraId="443D6417" w14:textId="77777777" w:rsidR="00736BD9" w:rsidRDefault="00736B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Ukupni donos viška iz prethodnih godina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14:paraId="0235A5BE" w14:textId="77777777" w:rsidR="00736BD9" w:rsidRDefault="00736B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F242644" w14:textId="73FFAEBD" w:rsidR="00736BD9" w:rsidRDefault="005110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24.978,82</w:t>
            </w:r>
          </w:p>
        </w:tc>
      </w:tr>
      <w:tr w:rsidR="00736BD9" w14:paraId="0FB606D0" w14:textId="77777777" w:rsidTr="00463DA1">
        <w:trPr>
          <w:trHeight w:val="600"/>
        </w:trPr>
        <w:tc>
          <w:tcPr>
            <w:tcW w:w="3656" w:type="dxa"/>
            <w:shd w:val="clear" w:color="000000" w:fill="C6E0B4"/>
            <w:vAlign w:val="bottom"/>
            <w:hideMark/>
          </w:tcPr>
          <w:p w14:paraId="1BA5B296" w14:textId="77777777" w:rsidR="00736BD9" w:rsidRDefault="00736BD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IZ PRETHODNIH GODINA KOJI ĆE SE RASPOREDITI</w:t>
            </w:r>
          </w:p>
        </w:tc>
        <w:tc>
          <w:tcPr>
            <w:tcW w:w="1991" w:type="dxa"/>
            <w:shd w:val="clear" w:color="000000" w:fill="C6E0B4"/>
            <w:noWrap/>
            <w:vAlign w:val="bottom"/>
            <w:hideMark/>
          </w:tcPr>
          <w:p w14:paraId="3EC0EF1F" w14:textId="77777777" w:rsidR="00736BD9" w:rsidRDefault="00736BD9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985" w:type="dxa"/>
            <w:shd w:val="clear" w:color="000000" w:fill="C6E0B4"/>
            <w:noWrap/>
            <w:vAlign w:val="bottom"/>
            <w:hideMark/>
          </w:tcPr>
          <w:p w14:paraId="0AA24ECF" w14:textId="10FBC0B3" w:rsidR="00736BD9" w:rsidRDefault="00511007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</w:tr>
    </w:tbl>
    <w:p w14:paraId="367DA9CA" w14:textId="77777777" w:rsidR="00736BD9" w:rsidRDefault="00736BD9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90E0C03" w14:textId="77777777" w:rsidR="00736BD9" w:rsidRDefault="00736BD9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31F30E7" w14:textId="77777777" w:rsidR="00D46E51" w:rsidRDefault="00D46E51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677C42B" w14:textId="77777777" w:rsidR="00D46E51" w:rsidRDefault="00D46E51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9924" w:type="dxa"/>
        <w:tblInd w:w="-449" w:type="dxa"/>
        <w:tblLook w:val="04A0" w:firstRow="1" w:lastRow="0" w:firstColumn="1" w:lastColumn="0" w:noHBand="0" w:noVBand="1"/>
      </w:tblPr>
      <w:tblGrid>
        <w:gridCol w:w="3816"/>
        <w:gridCol w:w="1003"/>
        <w:gridCol w:w="979"/>
        <w:gridCol w:w="1428"/>
        <w:gridCol w:w="1110"/>
        <w:gridCol w:w="1588"/>
      </w:tblGrid>
      <w:tr w:rsidR="00736BD9" w:rsidRPr="00736BD9" w14:paraId="6A9F29FB" w14:textId="77777777" w:rsidTr="003D5A40">
        <w:trPr>
          <w:trHeight w:val="1815"/>
        </w:trPr>
        <w:tc>
          <w:tcPr>
            <w:tcW w:w="3816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40AA4A18" w14:textId="77777777" w:rsidR="00736BD9" w:rsidRPr="00736BD9" w:rsidRDefault="00736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 w:eastAsia="en-GB"/>
              </w:rPr>
            </w:pPr>
            <w:r w:rsidRPr="00736BD9"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RAČUN FINANCIRANJA</w:t>
            </w:r>
          </w:p>
        </w:tc>
        <w:tc>
          <w:tcPr>
            <w:tcW w:w="1003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FE95A8D" w14:textId="4D4C9E1E" w:rsidR="00736BD9" w:rsidRPr="00736BD9" w:rsidRDefault="00736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6BD9">
              <w:rPr>
                <w:rFonts w:ascii="Calibri" w:hAnsi="Calibri" w:cs="Calibri"/>
                <w:b/>
                <w:bCs/>
                <w:sz w:val="20"/>
                <w:szCs w:val="20"/>
              </w:rPr>
              <w:t>I. izmjene i dopune plana za 202</w:t>
            </w:r>
            <w:r w:rsidR="003D5A40">
              <w:rPr>
                <w:rFonts w:ascii="Calibri" w:hAnsi="Calibri" w:cs="Calibri"/>
                <w:b/>
                <w:bCs/>
                <w:sz w:val="20"/>
                <w:szCs w:val="20"/>
              </w:rPr>
              <w:t>4</w:t>
            </w:r>
            <w:r w:rsidRPr="00736BD9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97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1643B947" w14:textId="262EF786" w:rsidR="00736BD9" w:rsidRPr="00736BD9" w:rsidRDefault="00736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6BD9">
              <w:rPr>
                <w:rFonts w:ascii="Calibri" w:hAnsi="Calibri" w:cs="Calibri"/>
                <w:b/>
                <w:bCs/>
                <w:sz w:val="20"/>
                <w:szCs w:val="20"/>
              </w:rPr>
              <w:t>Izvršenje plana za 202</w:t>
            </w:r>
            <w:r w:rsidR="003D5A40">
              <w:rPr>
                <w:rFonts w:ascii="Calibri" w:hAnsi="Calibri" w:cs="Calibri"/>
                <w:b/>
                <w:bCs/>
                <w:sz w:val="20"/>
                <w:szCs w:val="20"/>
              </w:rPr>
              <w:t>3</w:t>
            </w:r>
            <w:r w:rsidRPr="00736BD9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428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F279B68" w14:textId="77777777" w:rsidR="00736BD9" w:rsidRPr="00736BD9" w:rsidRDefault="00736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6BD9">
              <w:rPr>
                <w:rFonts w:ascii="Calibri" w:hAnsi="Calibri" w:cs="Calibri"/>
                <w:b/>
                <w:bCs/>
                <w:sz w:val="20"/>
                <w:szCs w:val="20"/>
              </w:rPr>
              <w:t>Polugodišnje izvršenje plana</w:t>
            </w:r>
          </w:p>
        </w:tc>
        <w:tc>
          <w:tcPr>
            <w:tcW w:w="111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D81AA9D" w14:textId="77777777" w:rsidR="00736BD9" w:rsidRPr="00736BD9" w:rsidRDefault="00736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6BD9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Indeks ostvarenja u odnosu na prethodno razdoblje </w:t>
            </w:r>
          </w:p>
        </w:tc>
        <w:tc>
          <w:tcPr>
            <w:tcW w:w="1588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227B2DF7" w14:textId="77777777" w:rsidR="00736BD9" w:rsidRPr="00736BD9" w:rsidRDefault="00736BD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36BD9">
              <w:rPr>
                <w:rFonts w:ascii="Calibri" w:hAnsi="Calibri" w:cs="Calibri"/>
                <w:b/>
                <w:bCs/>
                <w:sz w:val="20"/>
                <w:szCs w:val="20"/>
              </w:rPr>
              <w:t>Indeks ostvarenja u odnosu na I. izmjene i dopune</w:t>
            </w:r>
          </w:p>
        </w:tc>
      </w:tr>
      <w:tr w:rsidR="00736BD9" w:rsidRPr="00736BD9" w14:paraId="2A2E11AC" w14:textId="77777777" w:rsidTr="003D5A40">
        <w:trPr>
          <w:trHeight w:val="600"/>
        </w:trPr>
        <w:tc>
          <w:tcPr>
            <w:tcW w:w="3816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A666F" w14:textId="77777777" w:rsidR="00736BD9" w:rsidRPr="00736BD9" w:rsidRDefault="00736BD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Primici od financijske imovine i zaduživanja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B1E0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BA75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A23C6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33C8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8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3E32C1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</w:tr>
      <w:tr w:rsidR="00736BD9" w:rsidRPr="00736BD9" w14:paraId="1B879E26" w14:textId="77777777" w:rsidTr="003D5A40">
        <w:trPr>
          <w:trHeight w:val="600"/>
        </w:trPr>
        <w:tc>
          <w:tcPr>
            <w:tcW w:w="3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68BB1E" w14:textId="77777777" w:rsidR="00736BD9" w:rsidRPr="00736BD9" w:rsidRDefault="00736BD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Izdaci za financijsku imovinu i otplate zajmova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3A41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A869D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AF4F4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3F14B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33CB8BB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</w:tr>
      <w:tr w:rsidR="00736BD9" w:rsidRPr="00736BD9" w14:paraId="4FD75705" w14:textId="77777777" w:rsidTr="003D5A40">
        <w:trPr>
          <w:trHeight w:val="300"/>
        </w:trPr>
        <w:tc>
          <w:tcPr>
            <w:tcW w:w="3816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CAE4D5" w14:textId="77777777" w:rsidR="00736BD9" w:rsidRPr="00736BD9" w:rsidRDefault="00736BD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NETO FINANCIRANJE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B98EBA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A55D1F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F24926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ED1D4E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58A25C1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</w:tr>
      <w:tr w:rsidR="00736BD9" w:rsidRPr="00736BD9" w14:paraId="57D6D6AA" w14:textId="77777777" w:rsidTr="003D5A40">
        <w:trPr>
          <w:trHeight w:val="315"/>
        </w:trPr>
        <w:tc>
          <w:tcPr>
            <w:tcW w:w="3816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32490A" w14:textId="77777777" w:rsidR="00736BD9" w:rsidRPr="00736BD9" w:rsidRDefault="00736BD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VIŠAK/MANJAK + NETO FINANCIRANJE</w:t>
            </w:r>
          </w:p>
        </w:tc>
        <w:tc>
          <w:tcPr>
            <w:tcW w:w="100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28BF88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9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486F0B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2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D8BA09" w14:textId="5B02365E" w:rsidR="003D5A40" w:rsidRPr="00736BD9" w:rsidRDefault="00511007" w:rsidP="003D5A40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20.000,00</w:t>
            </w:r>
          </w:p>
        </w:tc>
        <w:tc>
          <w:tcPr>
            <w:tcW w:w="111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65B839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58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0592B16" w14:textId="77777777" w:rsidR="00736BD9" w:rsidRPr="00736BD9" w:rsidRDefault="00736BD9">
            <w:pPr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36BD9">
              <w:rPr>
                <w:rFonts w:ascii="Calibri" w:hAnsi="Calibri" w:cs="Calibri"/>
                <w:color w:val="000000"/>
                <w:sz w:val="20"/>
                <w:szCs w:val="20"/>
              </w:rPr>
              <w:t>0.00</w:t>
            </w:r>
          </w:p>
        </w:tc>
      </w:tr>
    </w:tbl>
    <w:p w14:paraId="4F711D5E" w14:textId="77777777" w:rsidR="00736BD9" w:rsidRPr="00AC7893" w:rsidRDefault="00736BD9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A52C563" w14:textId="77777777" w:rsidR="00124F63" w:rsidRDefault="00124F63" w:rsidP="003E6B30">
      <w:pPr>
        <w:pStyle w:val="ListParagraph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3E767737" w14:textId="0C7D4690" w:rsidR="003E6B30" w:rsidRDefault="00AC7893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AC7893">
        <w:rPr>
          <w:rFonts w:asciiTheme="minorHAnsi" w:hAnsiTheme="minorHAnsi" w:cstheme="minorHAnsi"/>
          <w:b/>
          <w:bCs/>
        </w:rPr>
        <w:t xml:space="preserve">I.2. </w:t>
      </w:r>
      <w:r>
        <w:rPr>
          <w:rFonts w:asciiTheme="minorHAnsi" w:hAnsiTheme="minorHAnsi" w:cstheme="minorHAnsi"/>
          <w:b/>
          <w:bCs/>
        </w:rPr>
        <w:t xml:space="preserve"> Račun prihoda i rashoda </w:t>
      </w:r>
    </w:p>
    <w:p w14:paraId="5512C65F" w14:textId="77777777" w:rsidR="00AC7893" w:rsidRDefault="00AC7893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EC6CEC3" w14:textId="51587A30" w:rsidR="00AC7893" w:rsidRDefault="00AC7893" w:rsidP="00AC7893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I.2.a. Izvještaj o prihodima i rashodima prema ekonomskoj klasifikaciji</w:t>
      </w:r>
    </w:p>
    <w:p w14:paraId="737A4207" w14:textId="77777777" w:rsidR="003E7E4E" w:rsidRDefault="003E7E4E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0065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1135"/>
        <w:gridCol w:w="1418"/>
        <w:gridCol w:w="1275"/>
        <w:gridCol w:w="1418"/>
        <w:gridCol w:w="850"/>
        <w:gridCol w:w="1418"/>
        <w:gridCol w:w="1276"/>
        <w:gridCol w:w="1275"/>
      </w:tblGrid>
      <w:tr w:rsidR="00C57BC0" w14:paraId="52F71740" w14:textId="77777777" w:rsidTr="00C57BC0">
        <w:trPr>
          <w:trHeight w:val="2391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23267E9" w14:textId="77777777" w:rsidR="00C57BC0" w:rsidRDefault="00C57BC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Račun prihoda/primitka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2C92D77" w14:textId="77777777" w:rsidR="00C57BC0" w:rsidRDefault="00C57BC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AE1DD35" w14:textId="77777777" w:rsidR="00C57BC0" w:rsidRDefault="00C57BC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45F03630" w14:textId="77777777" w:rsidR="00C57BC0" w:rsidRDefault="00C57BC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I. izmjene i dopune plana za 2024.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B5BAAA0" w14:textId="77777777" w:rsidR="00C57BC0" w:rsidRDefault="00C57BC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2024.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6AD9822" w14:textId="77777777" w:rsidR="00C57BC0" w:rsidRDefault="00C57BC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CB252A6" w14:textId="77777777" w:rsidR="00C57BC0" w:rsidRDefault="00C57BC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6019A5B6" w14:textId="77777777" w:rsidR="00C57BC0" w:rsidRDefault="00C57BC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I. izmjene i dopune</w:t>
            </w:r>
          </w:p>
        </w:tc>
      </w:tr>
      <w:tr w:rsidR="00C57BC0" w14:paraId="40400894" w14:textId="77777777" w:rsidTr="00C57BC0">
        <w:trPr>
          <w:trHeight w:val="30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C43CDC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003B7D0F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0539497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642.908,50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01C5449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07E5003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77467A8B" w14:textId="7CF1F6C6" w:rsidR="00C57BC0" w:rsidRDefault="00B631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868.930,80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65D80F90" w14:textId="6AF03686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  <w:r w:rsidR="00B6313B">
              <w:rPr>
                <w:rFonts w:ascii="Calibri" w:hAnsi="Calibri" w:cs="Calibri"/>
                <w:color w:val="000000"/>
                <w:sz w:val="22"/>
                <w:szCs w:val="22"/>
              </w:rPr>
              <w:t>5,16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noWrap/>
            <w:vAlign w:val="bottom"/>
            <w:hideMark/>
          </w:tcPr>
          <w:p w14:paraId="2CD9F2B0" w14:textId="39871550" w:rsidR="00C57BC0" w:rsidRDefault="00B631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51,85%</w:t>
            </w:r>
          </w:p>
        </w:tc>
      </w:tr>
      <w:tr w:rsidR="00B6313B" w14:paraId="445537BE" w14:textId="77777777" w:rsidTr="00C57BC0">
        <w:trPr>
          <w:trHeight w:val="30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395E9E8" w14:textId="77777777" w:rsidR="00B6313B" w:rsidRDefault="00B6313B" w:rsidP="00B631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93B68CF" w14:textId="77777777" w:rsidR="00B6313B" w:rsidRDefault="00B6313B" w:rsidP="00B6313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730AD08" w14:textId="77777777" w:rsidR="00B6313B" w:rsidRDefault="00B6313B" w:rsidP="00B631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642.908,50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16AF1F6" w14:textId="77777777" w:rsidR="00B6313B" w:rsidRDefault="00B6313B" w:rsidP="00B631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ED12CFA" w14:textId="77777777" w:rsidR="00B6313B" w:rsidRDefault="00B6313B" w:rsidP="00B631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9B75F05" w14:textId="12A4B7E5" w:rsidR="00B6313B" w:rsidRDefault="00B6313B" w:rsidP="00B631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868.930,80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AC50CEC" w14:textId="612ECACA" w:rsidR="00B6313B" w:rsidRDefault="00B6313B" w:rsidP="00B631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135,16%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048D85DE" w14:textId="71715FC5" w:rsidR="00B6313B" w:rsidRDefault="00B6313B" w:rsidP="00B6313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51,85%</w:t>
            </w:r>
          </w:p>
        </w:tc>
      </w:tr>
      <w:tr w:rsidR="00C57BC0" w14:paraId="413BC574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48404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32D7A05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2FFA3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105.713,18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9DB43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917855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66308B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146.849,01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05116A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138,91%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1E0341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53,79%</w:t>
            </w:r>
          </w:p>
        </w:tc>
      </w:tr>
      <w:tr w:rsidR="00C57BC0" w14:paraId="1978B428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D12BE4C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31B243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proračunskim korisnicima iz proračuna koji im nije nadležan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48BA6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105.713,18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22ECC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E1C04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59AEAB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146.849,01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2B56C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138,91%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0AD0A8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53,79%</w:t>
            </w:r>
          </w:p>
        </w:tc>
      </w:tr>
      <w:tr w:rsidR="00C57BC0" w14:paraId="00369C89" w14:textId="77777777" w:rsidTr="00C57BC0">
        <w:trPr>
          <w:trHeight w:val="9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42C5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B5DD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Tekuće pomoći proračunski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 korisnicima iz proračuna koji im nije nadležan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91D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105.713,18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960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FC84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AF0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5C6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100,65%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B92E6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61,50%</w:t>
            </w:r>
          </w:p>
        </w:tc>
      </w:tr>
      <w:tr w:rsidR="00C57BC0" w14:paraId="461ECF72" w14:textId="77777777" w:rsidTr="00C57BC0">
        <w:trPr>
          <w:trHeight w:val="9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FE93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1EA33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Kapitalne pomoći proračunskim korisnicima iz proračuna koji im nije nadležan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26FE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044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FBCB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40D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D84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B4549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C57BC0" w14:paraId="112AA616" w14:textId="77777777" w:rsidTr="00C57BC0">
        <w:trPr>
          <w:trHeight w:val="9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91C0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855405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Kapitalne pomoći iz državnog proračuna temeljem prijenosa EU sredstava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519F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AE0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B992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EB5F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E3C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2ACFB2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C57BC0" w14:paraId="43145081" w14:textId="77777777" w:rsidTr="00C57BC0">
        <w:trPr>
          <w:trHeight w:val="105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325AF5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22D82EFD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upravnih i administrativnih pristojbi, pristojbi po posebnim propisima i naknada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A8F6C6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57.479,03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B3EE37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6A8441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048D84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9D34C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169,23%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3AFE266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77,20%</w:t>
            </w:r>
          </w:p>
        </w:tc>
      </w:tr>
      <w:tr w:rsidR="00C57BC0" w14:paraId="026A2B7A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D612DD7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4288E2A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 posebnim propisima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2E29AE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57.479,03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5C775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5C0B8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E32B3F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2F3C4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169,23%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1298F4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77,20%</w:t>
            </w:r>
          </w:p>
        </w:tc>
      </w:tr>
      <w:tr w:rsidR="00C57BC0" w14:paraId="41D5B878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29FE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CCCFD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0EA9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57.479,03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67A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6F4C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907C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B36F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169,23%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07FF3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77,20%</w:t>
            </w:r>
          </w:p>
        </w:tc>
      </w:tr>
      <w:tr w:rsidR="00C57BC0" w14:paraId="4798D668" w14:textId="77777777" w:rsidTr="00C57BC0">
        <w:trPr>
          <w:trHeight w:val="129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1299E0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7A60EC0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 te pruženih usluga, prihodi od donacija te povrati po protestiranim jamstvima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890B69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37.468,63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2B891D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DBFFC0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933D25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50.809,77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18FF8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135,61%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E0F2F5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80,02%</w:t>
            </w:r>
          </w:p>
        </w:tc>
      </w:tr>
      <w:tr w:rsidR="00C57BC0" w14:paraId="595DC357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662288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2479192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 te pruženih usluga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A889E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37.468,63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BEF9B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7E03E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468470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50.809,77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7A95E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135,61%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CD603D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80,02%</w:t>
            </w:r>
          </w:p>
        </w:tc>
      </w:tr>
      <w:tr w:rsidR="00C57BC0" w14:paraId="7AB0821E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BCCF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6614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27925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prodaje proizvoda i robe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E457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1.302,97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31C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99C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626A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832,61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B0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63,90%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4B816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83,26%</w:t>
            </w:r>
          </w:p>
        </w:tc>
      </w:tr>
      <w:tr w:rsidR="00C57BC0" w14:paraId="57E4BB2D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CA51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66EA6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pruženih usluga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FA37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36.165,66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F82F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0436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6A20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49.977,16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3DE0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138,19%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A8D44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79,96%</w:t>
            </w:r>
          </w:p>
        </w:tc>
      </w:tr>
      <w:tr w:rsidR="00C57BC0" w14:paraId="3199FE0C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CED9233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10E9B19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 od pravnih i fizičkih osoba izvan općeg proračuna i povrat donacija po protestiranim jamstvima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860EF9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D34D3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46120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D2E17E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576A0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122,51%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08AA2F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74,75%</w:t>
            </w:r>
          </w:p>
        </w:tc>
      </w:tr>
      <w:tr w:rsidR="00C57BC0" w14:paraId="5C3291C8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EDE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B4F3A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Tekuće donacije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2B7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18.306,00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FC52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A6CB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674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22.426,00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A44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122,51%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EAD67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74,75%</w:t>
            </w:r>
          </w:p>
        </w:tc>
      </w:tr>
      <w:tr w:rsidR="00C57BC0" w14:paraId="457BA76A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B0F9DD8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4127286F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646F04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423.933,04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A7DD33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81C36D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D701AB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551.574,73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0BCAA3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130,11%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30DA65A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46,63%</w:t>
            </w:r>
          </w:p>
        </w:tc>
      </w:tr>
      <w:tr w:rsidR="00C57BC0" w14:paraId="3CF6F065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3D27A3B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CA7F26A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redovne djelatnosti proračunskih korisnika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0BA33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423.933,04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380BB6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A37E5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32DAD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551.574,73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0196D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130,11%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905576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46,63%</w:t>
            </w:r>
          </w:p>
        </w:tc>
      </w:tr>
      <w:tr w:rsidR="00C57BC0" w14:paraId="6DA05DEB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134B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F80FB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rashoda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01B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378.278,14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3805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014F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08BB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496.476,45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CB25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131,25%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A36D2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44,81%</w:t>
            </w:r>
          </w:p>
        </w:tc>
      </w:tr>
      <w:tr w:rsidR="00C57BC0" w14:paraId="6D514D8F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FE2E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F08C5C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za financiranje rashoda za nabavu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59A7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45.654,90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703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4D58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09D4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55.098,28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2CD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120,68%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F767A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73,46%</w:t>
            </w:r>
          </w:p>
        </w:tc>
      </w:tr>
      <w:tr w:rsidR="00C57BC0" w14:paraId="0C589251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3194E80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5CE55F89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Kazne, upravne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mjere i ostali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68EFF3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6E1787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2D60E8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8F8CAA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825E0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35EF13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C57BC0" w14:paraId="32B735CA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1DDE8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5DAD4C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721219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D13900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288358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7A5A9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F2A8A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63BE46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C57BC0" w14:paraId="664E41D6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75A7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5E655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prihodi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550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5851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004D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5C5F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8F1E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D5A60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C57BC0" w14:paraId="4AA10728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1A25727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hideMark/>
          </w:tcPr>
          <w:p w14:paraId="29A4A6E1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2CA2DE4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580.432,11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7F3724A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018553F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72F1E60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797.862,19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noWrap/>
            <w:vAlign w:val="bottom"/>
            <w:hideMark/>
          </w:tcPr>
          <w:p w14:paraId="4513154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137,46%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noWrap/>
            <w:vAlign w:val="bottom"/>
            <w:hideMark/>
          </w:tcPr>
          <w:p w14:paraId="08233B2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47,04%</w:t>
            </w:r>
          </w:p>
        </w:tc>
      </w:tr>
      <w:tr w:rsidR="00C57BC0" w14:paraId="5E2A558A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E9C6805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hideMark/>
          </w:tcPr>
          <w:p w14:paraId="714F3D2A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7EA5AB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530.027,87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4A5D11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1.491.000,00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853B10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DBA560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680.775,57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083C64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128,44%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3A5B5DC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45,66%</w:t>
            </w:r>
          </w:p>
        </w:tc>
      </w:tr>
      <w:tr w:rsidR="00C57BC0" w14:paraId="3E5ACA01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92087B2" w14:textId="77777777" w:rsidR="00C57BC0" w:rsidRDefault="00C57B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002751C" w14:textId="77777777" w:rsidR="00C57BC0" w:rsidRDefault="00C57B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53648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273.046,55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45439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3F1E4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379272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341.957,12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9E057E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125,24%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E98936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41,17%</w:t>
            </w:r>
          </w:p>
        </w:tc>
      </w:tr>
      <w:tr w:rsidR="00C57BC0" w14:paraId="23B5B358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045338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CF9506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Plaće (Bruto)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8F519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219.588,56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391E1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43255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8FCC9D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257.918,64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D8C09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117,46%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A60EEC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38,78%</w:t>
            </w:r>
          </w:p>
        </w:tc>
      </w:tr>
      <w:tr w:rsidR="00C57BC0" w14:paraId="42C1E070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096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B13A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Plaće za redovan rad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E9F3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219.588,56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F439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0729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FA8E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257.918,64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F8D2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117,46%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D7902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38,78%</w:t>
            </w:r>
          </w:p>
        </w:tc>
      </w:tr>
      <w:tr w:rsidR="00C57BC0" w14:paraId="40FAAAAB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CC1257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09E84B6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A27AC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23.023,81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4DDB0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D832C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20953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46.947,34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A0A580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203,91%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9DF924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63,44%</w:t>
            </w:r>
          </w:p>
        </w:tc>
      </w:tr>
      <w:tr w:rsidR="00C57BC0" w14:paraId="4D27D838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240E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30D582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8BC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23.023,81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F44C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2E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76B3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46.947,34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7D96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203,91%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7CB49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63,44%</w:t>
            </w:r>
          </w:p>
        </w:tc>
      </w:tr>
      <w:tr w:rsidR="00C57BC0" w14:paraId="2BCFCC3B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9EC95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429FD9A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Doprinosi na plaće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96D2EC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30.434,18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A8B66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6B528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4A0A9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37.091,14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842A6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121,87%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B5A8C9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40,54%</w:t>
            </w:r>
          </w:p>
        </w:tc>
      </w:tr>
      <w:tr w:rsidR="00C57BC0" w14:paraId="536D2266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AAB5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BA2B0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Doprinosi za obvezno zdravstveno osiguranje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D065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30.434,18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021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F4C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DE21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37.091,14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6580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121,87%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CAF03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40,54%</w:t>
            </w:r>
          </w:p>
        </w:tc>
      </w:tr>
      <w:tr w:rsidR="00C57BC0" w14:paraId="14E64083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CCD8F67" w14:textId="77777777" w:rsidR="00C57BC0" w:rsidRDefault="00C57B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15032EEC" w14:textId="77777777" w:rsidR="00C57BC0" w:rsidRDefault="00C57B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62BD8A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256.847,34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B23F62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DA734C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A14EE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338.577,78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5CB0C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131,82%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BF5EF3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51,46%</w:t>
            </w:r>
          </w:p>
        </w:tc>
      </w:tr>
      <w:tr w:rsidR="00C57BC0" w14:paraId="123F289C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04591EB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67FBC447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troškove zaposlenima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A5C4D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18.888,12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C446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59831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0677A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37.854,22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29E06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200,41%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993480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62,06%</w:t>
            </w:r>
          </w:p>
        </w:tc>
      </w:tr>
      <w:tr w:rsidR="00C57BC0" w14:paraId="47AA18EC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5AA0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7F78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0BA7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10.720,68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EEDD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B6FD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C5E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13.168,42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B048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122,83%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E9AD4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47,03%</w:t>
            </w:r>
          </w:p>
        </w:tc>
      </w:tr>
      <w:tr w:rsidR="00C57BC0" w14:paraId="3105EE85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8AE72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3BA8F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8DA8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7.954,35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AAC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7D161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86E9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9.624,70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CC4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121,00%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E88A1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64,16%</w:t>
            </w:r>
          </w:p>
        </w:tc>
      </w:tr>
      <w:tr w:rsidR="00C57BC0" w14:paraId="444CC8FE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C223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92671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Stručno usavršavanje zaposlenika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4991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213,09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D6C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B58B8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763F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15.061,10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1A08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7067,95%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18AA5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83,67%</w:t>
            </w:r>
          </w:p>
        </w:tc>
      </w:tr>
      <w:tr w:rsidR="00C57BC0" w14:paraId="0A74AB2A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0C780E1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10A811F5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materijal i energiju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C58BC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31.122,71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90AF8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AAC48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641695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51.957,53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74398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166,94%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3D0C07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73,49%</w:t>
            </w:r>
          </w:p>
        </w:tc>
      </w:tr>
      <w:tr w:rsidR="00C57BC0" w14:paraId="45111F81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72F7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5C852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B99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6.123,20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F05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19BA2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C7CE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16.730,94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F944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273,24%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48988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92,95%</w:t>
            </w:r>
          </w:p>
        </w:tc>
      </w:tr>
      <w:tr w:rsidR="00C57BC0" w14:paraId="1C6E4B69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803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E7EF9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 i sirovine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F5F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1.102,49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EDB7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5C43C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61C7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00C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46,49%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CB184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51,26%</w:t>
            </w:r>
          </w:p>
        </w:tc>
      </w:tr>
      <w:tr w:rsidR="00C57BC0" w14:paraId="53C6DEA5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ADC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CB3CDB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A7DE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19.175,37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6A7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A9672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823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15.386,67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041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80,24%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30234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64,11%</w:t>
            </w:r>
          </w:p>
        </w:tc>
      </w:tr>
      <w:tr w:rsidR="00C57BC0" w14:paraId="66BF8A7B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8371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603FC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3AED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4.223,90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7553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CA9B3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EA8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3.916,66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273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92,73%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CD519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78,33%</w:t>
            </w:r>
          </w:p>
        </w:tc>
      </w:tr>
      <w:tr w:rsidR="00C57BC0" w14:paraId="25E5839D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8A3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3351A6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015D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497,75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285F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17.700,00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B0D2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5887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15.207,00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1E7A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3055,15%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21772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85,92%</w:t>
            </w:r>
          </w:p>
        </w:tc>
      </w:tr>
      <w:tr w:rsidR="00C57BC0" w14:paraId="05105242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F37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685AD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244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376E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493B2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D41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203,66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FCB6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7A0B4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C57BC0" w14:paraId="6060D214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3053D0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7F0C4859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406CD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159.831,92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9CBE0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412.300,00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334D1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22365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201.319,93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18A80A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125,96%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976DF4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48,83%</w:t>
            </w:r>
          </w:p>
        </w:tc>
      </w:tr>
      <w:tr w:rsidR="00C57BC0" w14:paraId="053FD875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2C1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084F7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9AF1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8.265,92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F5B3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A9CCD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E462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6.343,95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272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76,75%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F5F83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41,46%</w:t>
            </w:r>
          </w:p>
        </w:tc>
      </w:tr>
      <w:tr w:rsidR="00C57BC0" w14:paraId="305AABEA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FB3C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FD63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tekućeg i investicijskog održavanja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AEE5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5.860,42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C6C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41F66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56FD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2.569,13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122A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43,84%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0BA23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12,85%</w:t>
            </w:r>
          </w:p>
        </w:tc>
      </w:tr>
      <w:tr w:rsidR="00C57BC0" w14:paraId="2AD28F66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1EFA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D288C5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5B78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535,47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E4DD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E34DC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EB56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4.391,44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16C2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820,11%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F4F288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69,71%</w:t>
            </w:r>
          </w:p>
        </w:tc>
      </w:tr>
      <w:tr w:rsidR="00C57BC0" w14:paraId="21DA199C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F30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02000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8779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952,39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0C2A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88F7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2EB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2.003,26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0B2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210,34%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84CDD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66,78%</w:t>
            </w:r>
          </w:p>
        </w:tc>
      </w:tr>
      <w:tr w:rsidR="00C57BC0" w14:paraId="227DA606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5415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8DEB5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4846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2.525,30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EAD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45.300,00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8ECE8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55FF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12.965,98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5ED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513,44%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2675B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28,62%</w:t>
            </w:r>
          </w:p>
        </w:tc>
      </w:tr>
      <w:tr w:rsidR="00C57BC0" w14:paraId="57A31EE4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6F9C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98A68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F915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129.593,94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D2F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305.800,00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9E4D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0CAA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158.541,27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AA0C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122,34%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F81DF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51,84%</w:t>
            </w:r>
          </w:p>
        </w:tc>
      </w:tr>
      <w:tr w:rsidR="00C57BC0" w14:paraId="516ADF50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5029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06A8A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3FF4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459A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F100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36D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2C22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27,05%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CF292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21,28%</w:t>
            </w:r>
          </w:p>
        </w:tc>
      </w:tr>
      <w:tr w:rsidR="00C57BC0" w14:paraId="14F3076D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5DC9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ECBFEF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124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10.918,48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73C6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6E93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FBC7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14.185,69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F055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129,92%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5DA79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93,94%</w:t>
            </w:r>
          </w:p>
        </w:tc>
      </w:tr>
      <w:tr w:rsidR="00C57BC0" w14:paraId="3680BC87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70A395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E4073CD" w14:textId="77777777" w:rsidR="00C57BC0" w:rsidRDefault="00C57BC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A7762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31.878,86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6CD1F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BEFC9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ED183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C74E1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84,74%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90B030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41,56%</w:t>
            </w:r>
          </w:p>
        </w:tc>
      </w:tr>
      <w:tr w:rsidR="00C57BC0" w14:paraId="4B504E12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4BE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5B3FB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6A6F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31.878,86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EF75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A5C2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DDA5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27.014,44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D434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84,74%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B2A92D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41,56%</w:t>
            </w:r>
          </w:p>
        </w:tc>
      </w:tr>
      <w:tr w:rsidR="00C57BC0" w14:paraId="451F03E4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CFEE11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DECE0BC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766EF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15.125,73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8C4F2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C4647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F4E8A3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20.431,66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190BD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135,08%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2E70E5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41,70%</w:t>
            </w:r>
          </w:p>
        </w:tc>
      </w:tr>
      <w:tr w:rsidR="00C57BC0" w14:paraId="02671BE7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5103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B749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Naknade za rad predstavničkih i izvršnih tijela, povjerenstava i slično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43BD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1.608,07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996EE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FADA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429A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DD45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73,93%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66DE3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23,78%</w:t>
            </w:r>
          </w:p>
        </w:tc>
      </w:tr>
      <w:tr w:rsidR="00C57BC0" w14:paraId="227A1459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2A6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6C30A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Premije osiguranja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5118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4.722,41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390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1C09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523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4.827,13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61D1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102,22%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E6C0A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80,45%</w:t>
            </w:r>
          </w:p>
        </w:tc>
      </w:tr>
      <w:tr w:rsidR="00C57BC0" w14:paraId="005B8AB7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64F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D07E8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5479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4.971,07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9477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6D27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4978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9.125,08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61A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183,56%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70B84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40,56%</w:t>
            </w:r>
          </w:p>
        </w:tc>
      </w:tr>
      <w:tr w:rsidR="00C57BC0" w14:paraId="12C63781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5440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0A20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Članarine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5DA9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E9A3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FB40F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B692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D145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002496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86,32%</w:t>
            </w:r>
          </w:p>
        </w:tc>
      </w:tr>
      <w:tr w:rsidR="00C57BC0" w14:paraId="57218E86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0FD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08FCAE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Pristojbe i naknade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7AE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2962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78859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6961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8254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7AEEA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47,31%</w:t>
            </w:r>
          </w:p>
        </w:tc>
      </w:tr>
      <w:tr w:rsidR="00C57BC0" w14:paraId="15F70B08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59B1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AED0F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54B6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3.392,56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076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9FC17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8CEC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4.622,43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0982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136,25%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5917E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31,88%</w:t>
            </w:r>
          </w:p>
        </w:tc>
      </w:tr>
      <w:tr w:rsidR="00C57BC0" w14:paraId="78694695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6EED06" w14:textId="77777777" w:rsidR="00C57BC0" w:rsidRDefault="00C57B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hideMark/>
          </w:tcPr>
          <w:p w14:paraId="5787E515" w14:textId="77777777" w:rsidR="00C57BC0" w:rsidRDefault="00C57B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36C31A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8BA3B3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B7DD15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4D4F13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8359E9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179,63%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3C11229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9,63%</w:t>
            </w:r>
          </w:p>
        </w:tc>
      </w:tr>
      <w:tr w:rsidR="00C57BC0" w14:paraId="004C5C6C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C5BDC2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320DB097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Ostali financijski rashodi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3C671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4C068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9A3E1E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1D576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3AF862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179,63%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FBB522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9,63%</w:t>
            </w:r>
          </w:p>
        </w:tc>
      </w:tr>
      <w:tr w:rsidR="00C57BC0" w14:paraId="2D455CDC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2473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2FAB8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Bankarske usluge i usluge platnog prometa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9691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12C1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6141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CF7F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BDA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07A4A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14,88%</w:t>
            </w:r>
          </w:p>
        </w:tc>
      </w:tr>
      <w:tr w:rsidR="00C57BC0" w14:paraId="2396969B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83FD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6AFE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Negativne tečajne razlike 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razlike zbog primjene valutne klauzule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696E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88E1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FBE3B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1A7F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6647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329BF2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C57BC0" w14:paraId="32BB7D9A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C87F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9F10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Zatezne kamate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199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2AC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27F89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39EE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191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299,61%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513C6B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9,19%</w:t>
            </w:r>
          </w:p>
        </w:tc>
      </w:tr>
      <w:tr w:rsidR="00C57BC0" w14:paraId="57567968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DCE40FB" w14:textId="77777777" w:rsidR="00C57BC0" w:rsidRDefault="00C57B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hideMark/>
          </w:tcPr>
          <w:p w14:paraId="4C9FB453" w14:textId="77777777" w:rsidR="00C57BC0" w:rsidRDefault="00C57B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5D5B782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50.404,24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2EDCA8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77F376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67DDB4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55364E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232,30%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7B53C26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57,12%</w:t>
            </w:r>
          </w:p>
        </w:tc>
      </w:tr>
      <w:tr w:rsidR="00C57BC0" w14:paraId="7B385F38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7C7269" w14:textId="77777777" w:rsidR="00C57BC0" w:rsidRDefault="00C57B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hideMark/>
          </w:tcPr>
          <w:p w14:paraId="603DE1A3" w14:textId="77777777" w:rsidR="00C57BC0" w:rsidRDefault="00C57BC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1060C9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50.404,24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01E100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C59396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5FBF6FD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3F283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232,30%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07F5C94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57,12%</w:t>
            </w:r>
          </w:p>
        </w:tc>
      </w:tr>
      <w:tr w:rsidR="00C57BC0" w14:paraId="6C0E1F3B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A9D5CA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hideMark/>
          </w:tcPr>
          <w:p w14:paraId="5A7B7654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Postrojenja i oprema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776D7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50.404,24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AEB50F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E64E9F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6FDF8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EDF062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232,30%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CFAC96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57,12%</w:t>
            </w:r>
          </w:p>
        </w:tc>
      </w:tr>
      <w:tr w:rsidR="00C57BC0" w14:paraId="0A76221B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102F5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59D5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F85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4.782,22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1627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8443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E31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3.379,87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DB8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70,68%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37A30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48,28%</w:t>
            </w:r>
          </w:p>
        </w:tc>
      </w:tr>
      <w:tr w:rsidR="00C57BC0" w14:paraId="03ED7B63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7224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9BAC7AC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Komunikacijska oprema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AEF38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81A1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E1A5B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F6C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891A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F85BFA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C57BC0" w14:paraId="5982EA19" w14:textId="77777777" w:rsidTr="00C57BC0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3383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8B0791D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Oprema za održavanje i zaštitu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0CE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AD3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853D8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568E6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61AD1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0FA6E9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C57BC0" w14:paraId="7AA476F9" w14:textId="77777777" w:rsidTr="00C57BC0">
        <w:trPr>
          <w:trHeight w:val="660"/>
        </w:trPr>
        <w:tc>
          <w:tcPr>
            <w:tcW w:w="1135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966E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6A92A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49AB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45.622,02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0D60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177.000,00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433C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0031B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93.706,75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3E00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205,40%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962F6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52,94%</w:t>
            </w:r>
          </w:p>
        </w:tc>
      </w:tr>
      <w:tr w:rsidR="00C57BC0" w14:paraId="4C646EC2" w14:textId="77777777" w:rsidTr="00C57BC0">
        <w:trPr>
          <w:trHeight w:val="660"/>
        </w:trPr>
        <w:tc>
          <w:tcPr>
            <w:tcW w:w="1135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2D7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hideMark/>
          </w:tcPr>
          <w:p w14:paraId="345DDD36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Prijevozna sredstva u cestovnom prometu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C3630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7938C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85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43FF7" w14:textId="77777777" w:rsidR="00C57BC0" w:rsidRDefault="00C57BC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6EC54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52743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8FF987" w14:textId="77777777" w:rsidR="00C57BC0" w:rsidRDefault="00C57BC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</w:tbl>
    <w:p w14:paraId="4FCA1540" w14:textId="77777777" w:rsidR="00C57BC0" w:rsidRDefault="00C57BC0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1DAA7C0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310864C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79E1EEE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6FB1065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4E209B4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EACE4B9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A6B0727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EEDD023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A8D4CC4" w14:textId="77777777" w:rsidR="00845975" w:rsidRDefault="00845975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76ABF095" w14:textId="695B6D3A" w:rsidR="00896EB1" w:rsidRDefault="004C0249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896EB1">
        <w:rPr>
          <w:rFonts w:asciiTheme="minorHAnsi" w:hAnsiTheme="minorHAnsi" w:cstheme="minorHAnsi"/>
          <w:b/>
          <w:bCs/>
        </w:rPr>
        <w:lastRenderedPageBreak/>
        <w:t>I.2.b.</w:t>
      </w:r>
      <w:r w:rsidR="00896EB1">
        <w:rPr>
          <w:rFonts w:asciiTheme="minorHAnsi" w:hAnsiTheme="minorHAnsi" w:cstheme="minorHAnsi"/>
          <w:b/>
          <w:bCs/>
        </w:rPr>
        <w:t xml:space="preserve"> Izvještaj o prihodima i rashodima prema izvorima financiranja</w:t>
      </w:r>
    </w:p>
    <w:p w14:paraId="44EA54B6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9923" w:type="dxa"/>
        <w:tblInd w:w="-732" w:type="dxa"/>
        <w:tblLook w:val="04A0" w:firstRow="1" w:lastRow="0" w:firstColumn="1" w:lastColumn="0" w:noHBand="0" w:noVBand="1"/>
      </w:tblPr>
      <w:tblGrid>
        <w:gridCol w:w="491"/>
        <w:gridCol w:w="2390"/>
        <w:gridCol w:w="1310"/>
        <w:gridCol w:w="1386"/>
        <w:gridCol w:w="806"/>
        <w:gridCol w:w="1391"/>
        <w:gridCol w:w="1190"/>
        <w:gridCol w:w="1308"/>
      </w:tblGrid>
      <w:tr w:rsidR="00EE0D02" w14:paraId="1ACBF637" w14:textId="77777777" w:rsidTr="00EE0D02">
        <w:trPr>
          <w:trHeight w:val="315"/>
        </w:trPr>
        <w:tc>
          <w:tcPr>
            <w:tcW w:w="9923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6D240B22" w14:textId="77777777" w:rsidR="00EE0D02" w:rsidRDefault="00EE0D0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PRIHODIMA I RASHODIMA PREMA IZVORIMA FINANCIRANJA</w:t>
            </w:r>
          </w:p>
        </w:tc>
      </w:tr>
      <w:tr w:rsidR="00EE0D02" w14:paraId="1C22633B" w14:textId="77777777" w:rsidTr="00EE0D02">
        <w:trPr>
          <w:trHeight w:val="18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1DB14DF6" w14:textId="77777777" w:rsidR="00EE0D02" w:rsidRDefault="00EE0D02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36088FC3" w14:textId="77777777" w:rsidR="00EE0D02" w:rsidRDefault="00EE0D0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1800AEE" w14:textId="77777777" w:rsidR="00EE0D02" w:rsidRDefault="00EE0D0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2023.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82FECD5" w14:textId="77777777" w:rsidR="00EE0D02" w:rsidRDefault="00EE0D0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I. izmjene i dopune plana za 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19D6CD6" w14:textId="77777777" w:rsidR="00EE0D02" w:rsidRDefault="00EE0D0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2024.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1F6541B2" w14:textId="77777777" w:rsidR="00EE0D02" w:rsidRDefault="00EE0D0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A9613B2" w14:textId="77777777" w:rsidR="00EE0D02" w:rsidRDefault="00EE0D0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3A7E58D3" w14:textId="77777777" w:rsidR="00EE0D02" w:rsidRDefault="00EE0D0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I. izmjene i dopune</w:t>
            </w:r>
          </w:p>
        </w:tc>
      </w:tr>
      <w:tr w:rsidR="00EE0D02" w14:paraId="23AA955E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E459A55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7F3EAF2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2D26A2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642.908,50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D3FEF5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8CD3F1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4F9F34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883.068,30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3F5CA4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137,36%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175E9C9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52,07%</w:t>
            </w:r>
          </w:p>
        </w:tc>
      </w:tr>
      <w:tr w:rsidR="00EE0D02" w14:paraId="537883A4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30ED5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A0D4925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ABBC89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642.908,50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10A180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48849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1413C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883.068,30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546F76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137,36%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7E8F1DD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52,07%</w:t>
            </w:r>
          </w:p>
        </w:tc>
      </w:tr>
      <w:tr w:rsidR="00EE0D02" w14:paraId="3BE244FD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F0FC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EE3AE3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5E34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423.933,04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C888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DD725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359D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551.574,73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7E2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130,11%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E73B7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46,63%</w:t>
            </w:r>
          </w:p>
        </w:tc>
      </w:tr>
      <w:tr w:rsidR="00EE0D02" w14:paraId="40F3930A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6D2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284A8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8001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37.477,25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45A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11D5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E483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50.809,77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9B7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135,57%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539AEC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79,39%</w:t>
            </w:r>
          </w:p>
        </w:tc>
      </w:tr>
      <w:tr w:rsidR="00EE0D02" w14:paraId="3411BDB9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CB2AF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3FCB6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BE4F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57.479,03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CE0A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5496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0EA3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07A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169,23%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2D047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77,20%</w:t>
            </w:r>
          </w:p>
        </w:tc>
      </w:tr>
      <w:tr w:rsidR="00EE0D02" w14:paraId="34B5B9B7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83049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11E55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9D7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86.004,38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980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2139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553C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CD2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123,71%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A7C17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45,67%</w:t>
            </w:r>
          </w:p>
        </w:tc>
      </w:tr>
      <w:tr w:rsidR="00EE0D02" w14:paraId="3BFF2176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276F9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BB11F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CEC9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19.708,80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D887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82F65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EEF1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6FE1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5E0C0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EE0D02" w14:paraId="78A70557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36DF4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8E0B6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909A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3EFD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59A8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4D03A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535F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D03DFA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EE0D02" w14:paraId="09E27461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4E35A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2BA35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E33C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18.306,00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65AA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072F5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2D5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22.426,00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6B0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122,51%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EEA2A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74,75%</w:t>
            </w:r>
          </w:p>
        </w:tc>
      </w:tr>
      <w:tr w:rsidR="00EE0D02" w14:paraId="65F020BD" w14:textId="77777777" w:rsidTr="00EE0D02">
        <w:trPr>
          <w:trHeight w:val="6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757F2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5CD48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325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56F7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1770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F2E5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0A1C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1C478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91,38%</w:t>
            </w:r>
          </w:p>
        </w:tc>
      </w:tr>
      <w:tr w:rsidR="00EE0D02" w14:paraId="009D4542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4DCAF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33003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CF5C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CE5E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C7AE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E3BB4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221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4A5B4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50,00%</w:t>
            </w:r>
          </w:p>
        </w:tc>
      </w:tr>
      <w:tr w:rsidR="00EE0D02" w14:paraId="541FA9A6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76B5D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612BC4AA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inozemstva i od subjekata unutar općeg proračuna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72489E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105.713,18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FCA764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52826B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62C2E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146.849,01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7DBF22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138,91%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3BE4D08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53,79%</w:t>
            </w:r>
          </w:p>
        </w:tc>
      </w:tr>
      <w:tr w:rsidR="00EE0D02" w14:paraId="0B51E0FB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156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8DF0E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08C2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86.004,38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D04F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440EF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BFC6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8EC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123,71%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85566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45,67%</w:t>
            </w:r>
          </w:p>
        </w:tc>
      </w:tr>
      <w:tr w:rsidR="00EE0D02" w14:paraId="6C87CE2F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0AC03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43DD15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5615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19.708,80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44A5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45EF2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B291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C2D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05FB5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EE0D02" w14:paraId="29CC0E2A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DC6E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2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4601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Sredstva Europske unije</w:t>
            </w:r>
          </w:p>
        </w:tc>
        <w:tc>
          <w:tcPr>
            <w:tcW w:w="1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61EF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F3C8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0F8FB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C800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40.449,01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8C4B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4F8C7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EE0D02" w14:paraId="44252A0D" w14:textId="77777777" w:rsidTr="00EE0D02">
        <w:trPr>
          <w:trHeight w:val="6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483AC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</w:t>
            </w:r>
          </w:p>
        </w:tc>
        <w:tc>
          <w:tcPr>
            <w:tcW w:w="2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32048046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od upravnih i administrativnih pristojbi, pristojbi po posebnim propisima i naknada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1B9C0F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57.479,03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E2BAA4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303FA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205FB9A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A91FD0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169,23%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DA4538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77,20%</w:t>
            </w:r>
          </w:p>
        </w:tc>
      </w:tr>
      <w:tr w:rsidR="00EE0D02" w14:paraId="07B8A8E2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AFD8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6DF95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66C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57.479,03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E66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298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DC8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97.271,29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6113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169,23%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3079A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77,20%</w:t>
            </w:r>
          </w:p>
        </w:tc>
      </w:tr>
      <w:tr w:rsidR="00EE0D02" w14:paraId="5B5DD237" w14:textId="77777777" w:rsidTr="00EE0D02">
        <w:trPr>
          <w:trHeight w:val="6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233A11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66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1B70782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Prihodi od prodaje proizvoda i robe te pruženih usluga, prihodi od donacija te povrati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po protestiranim jamstvima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5A7C32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55.774,63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FF62FC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2935D6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A73F5A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73.235,77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DA4574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131,31%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4B5BE9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78,33%</w:t>
            </w:r>
          </w:p>
        </w:tc>
      </w:tr>
      <w:tr w:rsidR="00EE0D02" w14:paraId="52C14ABA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671A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520BAC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6ABB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37.468,63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454F7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72BFF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E1A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50.809,77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966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135,61%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24684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80,02%</w:t>
            </w:r>
          </w:p>
        </w:tc>
      </w:tr>
      <w:tr w:rsidR="00EE0D02" w14:paraId="2E467596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CA0BA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8EF3A2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5758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18.306,00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B8B0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2299F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37FB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22.426,00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7903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122,51%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E41D5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74,75%</w:t>
            </w:r>
          </w:p>
        </w:tc>
      </w:tr>
      <w:tr w:rsidR="00EE0D02" w14:paraId="0E0A6A58" w14:textId="77777777" w:rsidTr="00EE0D02">
        <w:trPr>
          <w:trHeight w:val="6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19D34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67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59CC530B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iz nadležnog proračuna i od HZZO-a temeljem ugovornih obveza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9AA29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423.933,04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5B58C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69F52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FEDD23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551.574,73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A6A96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130,11%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1BCAB7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46,63%</w:t>
            </w:r>
          </w:p>
        </w:tc>
      </w:tr>
      <w:tr w:rsidR="00EE0D02" w14:paraId="74FC4F31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E6658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C91689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541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423.933,04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0094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01733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6BA7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551.574,73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D721A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130,11%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3F49BA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46,63%</w:t>
            </w:r>
          </w:p>
        </w:tc>
      </w:tr>
      <w:tr w:rsidR="00EE0D02" w14:paraId="3459A329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76F6E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04EB99C6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Kazne, upravne mjere i ostali 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D76F2D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4EAE2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07C8AD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4E6AD6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09604D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6451C4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EE0D02" w14:paraId="7F599DF6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5228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B6014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A59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8,62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BB41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946A8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83C2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629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BAD3B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EE0D02" w14:paraId="79A5FEB2" w14:textId="77777777" w:rsidTr="00EE0D02">
        <w:trPr>
          <w:trHeight w:val="6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0DD39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297A9189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E2DF42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3FC95F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C132DF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6D6CD1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8606C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5BFC99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91,38%</w:t>
            </w:r>
          </w:p>
        </w:tc>
      </w:tr>
      <w:tr w:rsidR="00EE0D02" w14:paraId="3D5FBFEA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E62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1566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Rezultat poslovanja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B1B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D714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07D4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1D7C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F5A0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3DF15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91,38%</w:t>
            </w:r>
          </w:p>
        </w:tc>
      </w:tr>
      <w:tr w:rsidR="00EE0D02" w14:paraId="0BC6ECD4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D5247C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789879FA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C8C601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4FE86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49406F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DC377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449344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767FFA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50,00%</w:t>
            </w:r>
          </w:p>
        </w:tc>
      </w:tr>
      <w:tr w:rsidR="00EE0D02" w14:paraId="4BA52EC1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47F8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6DF5D2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Rezultat poslovanja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C556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26C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B0978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1095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BFB0D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F0BD9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50,00%</w:t>
            </w:r>
          </w:p>
        </w:tc>
      </w:tr>
      <w:tr w:rsidR="00EE0D02" w14:paraId="4DDB6479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AFF7C1B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bottom"/>
            <w:hideMark/>
          </w:tcPr>
          <w:p w14:paraId="5648D10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288D73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580.432,11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6B5E7C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B895BA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F8D6BB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797.862,19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2F69E36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137,46%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0C44FE4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47,04%</w:t>
            </w:r>
          </w:p>
        </w:tc>
      </w:tr>
      <w:tr w:rsidR="00EE0D02" w14:paraId="78BA471A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4AA53C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455C6FE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63EBC5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530.027,87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FCBA53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1.491.000,00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28D88B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C1CF1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680.775,57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83332B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128,44%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5F2DBD0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45,66%</w:t>
            </w:r>
          </w:p>
        </w:tc>
      </w:tr>
      <w:tr w:rsidR="00EE0D02" w14:paraId="5DF35F14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6B72B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EDB6E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897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385.340,92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E744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1.183.000,00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F21BB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DD24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506.290,39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8FBB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131,39%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BD29A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42,80%</w:t>
            </w:r>
          </w:p>
        </w:tc>
      </w:tr>
      <w:tr w:rsidR="00EE0D02" w14:paraId="60D01744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36EAF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0A2969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361F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25.450,45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26A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64.000,00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2014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DEC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E1D3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82,35%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322958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32,75%</w:t>
            </w:r>
          </w:p>
        </w:tc>
      </w:tr>
      <w:tr w:rsidR="00EE0D02" w14:paraId="61EEC974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96BC4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48037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B33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52.829,65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0CC9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116.000,00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5240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5023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57.350,58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6BE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108,56%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D2E6D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49,44%</w:t>
            </w:r>
          </w:p>
        </w:tc>
      </w:tr>
      <w:tr w:rsidR="00EE0D02" w14:paraId="05C97497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350F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34F35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6FBA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103.264,53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153B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8A4A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9FC5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85.075,66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19B8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8927D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63,97%</w:t>
            </w:r>
          </w:p>
        </w:tc>
      </w:tr>
      <w:tr w:rsidR="00EE0D02" w14:paraId="0A912BE5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A7B68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AD0CC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CC4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6.984,81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633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5B7B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B457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4C08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37,44%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FA837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6,54%</w:t>
            </w:r>
          </w:p>
        </w:tc>
      </w:tr>
      <w:tr w:rsidR="00EE0D02" w14:paraId="2DF03B82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D994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FD1AC6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CE6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6.561,75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359A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24AE9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82D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8.484,29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7724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129,30%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B7EC4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28,28%</w:t>
            </w:r>
          </w:p>
        </w:tc>
      </w:tr>
      <w:tr w:rsidR="00EE0D02" w14:paraId="7ABC00D7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27AA4A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BCBE56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DEC0F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273.046,55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9E51E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BB9A46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E5AD5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341.957,12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37778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125,24%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1BF0AA2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41,17%</w:t>
            </w:r>
          </w:p>
        </w:tc>
      </w:tr>
      <w:tr w:rsidR="00EE0D02" w14:paraId="779BD046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9292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D5A92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867D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273.046,55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52E1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56FD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1268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341.957,12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11B6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125,24%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054E5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41,17%</w:t>
            </w:r>
          </w:p>
        </w:tc>
      </w:tr>
      <w:tr w:rsidR="00EE0D02" w14:paraId="70D1AE44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F91F7C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DA775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21F2D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256.847,34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6EFE7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324466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AE12A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338.577,78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0F12E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131,82%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353CC4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51,46%</w:t>
            </w:r>
          </w:p>
        </w:tc>
      </w:tr>
      <w:tr w:rsidR="00EE0D02" w14:paraId="0E02C675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7502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9CB59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AC22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107.481,48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6AA6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276.500,00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33A22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FD9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164.241,38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2A8D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152,81%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149E1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59,40%</w:t>
            </w:r>
          </w:p>
        </w:tc>
      </w:tr>
      <w:tr w:rsidR="00EE0D02" w14:paraId="6906D3CC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43D04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7302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9E22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25.450,45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B90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44158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B889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20.959,65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4B8F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82,35%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EC9A68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33,01%</w:t>
            </w:r>
          </w:p>
        </w:tc>
      </w:tr>
      <w:tr w:rsidR="00EE0D02" w14:paraId="1659CDC0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826E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8638C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FDB9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52.726,34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7C84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B543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792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57.201,80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3DAE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108,49%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32CFC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49,74%</w:t>
            </w:r>
          </w:p>
        </w:tc>
      </w:tr>
      <w:tr w:rsidR="00EE0D02" w14:paraId="5EA52A0E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70B1B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B1C1C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4E21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57.642,51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34A2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948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DB6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85.075,66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DBD4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147,59%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735C3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63,97%</w:t>
            </w:r>
          </w:p>
        </w:tc>
      </w:tr>
      <w:tr w:rsidR="00EE0D02" w14:paraId="6B417D82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B3BE6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58DB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B8BC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6.984,81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9A8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E8B8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B97F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2.615,00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80C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37,44%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C3312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6,54%</w:t>
            </w:r>
          </w:p>
        </w:tc>
      </w:tr>
      <w:tr w:rsidR="00EE0D02" w14:paraId="505252E1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C3FC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379C9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C25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6.561,75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2CDB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B682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BB1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8.484,29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439F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129,30%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01C0E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28,28%</w:t>
            </w:r>
          </w:p>
        </w:tc>
      </w:tr>
      <w:tr w:rsidR="00EE0D02" w14:paraId="62882217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42705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DC4A9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A274BCA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133,98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93793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49D53D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A5854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663B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179,63%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15C071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9,63%</w:t>
            </w:r>
          </w:p>
        </w:tc>
      </w:tr>
      <w:tr w:rsidR="00EE0D02" w14:paraId="43258F06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C36B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5AB6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D457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30,67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B9A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2356C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76C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9F5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299,61%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F8AD8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9,19%</w:t>
            </w:r>
          </w:p>
        </w:tc>
      </w:tr>
      <w:tr w:rsidR="00EE0D02" w14:paraId="1C1E7A3C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AC8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283B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4D05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8610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047A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9FC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0464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C5A38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EE0D02" w14:paraId="16F68F5A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418A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44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71A13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3AFA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103,31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745C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E91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9C10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148,78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E8FF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146DF7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14,88%</w:t>
            </w:r>
          </w:p>
        </w:tc>
      </w:tr>
      <w:tr w:rsidR="00EE0D02" w14:paraId="7D95559F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BE6240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bottom"/>
            <w:hideMark/>
          </w:tcPr>
          <w:p w14:paraId="16FFCAB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116F5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50.404,24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EA3BE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E0911E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D0127A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005B363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232,30%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463BC22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57,12%</w:t>
            </w:r>
          </w:p>
        </w:tc>
      </w:tr>
      <w:tr w:rsidR="00EE0D02" w14:paraId="0B4B4504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2A71A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1717B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B37C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4.782,22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79AB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66A7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036B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36.334,87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00D9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759,79%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56C83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48,45%</w:t>
            </w:r>
          </w:p>
        </w:tc>
      </w:tr>
      <w:tr w:rsidR="00EE0D02" w14:paraId="7897DF37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60E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CA3FF5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48E5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45.622,02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6895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066C4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26A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56.614,25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7A8A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0CC2C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56,61%</w:t>
            </w:r>
          </w:p>
        </w:tc>
      </w:tr>
      <w:tr w:rsidR="00EE0D02" w14:paraId="719EB223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B4C45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89E6A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858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6E14A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DABC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A73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3C6F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9502F0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EE0D02" w14:paraId="31E50F6A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D9B4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0CB4C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43F4A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A6E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8A58A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36CC2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02F35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4FF13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91,38%</w:t>
            </w:r>
          </w:p>
        </w:tc>
      </w:tr>
      <w:tr w:rsidR="00EE0D02" w14:paraId="0B9BD340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8D1FD6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35C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CF6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D65D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69FFA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0CC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A97F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F4B3A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50,00%</w:t>
            </w:r>
          </w:p>
        </w:tc>
      </w:tr>
      <w:tr w:rsidR="00EE0D02" w14:paraId="0CD222A0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03F4B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6D0391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2A35B1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50.404,24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5A8C1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BCF81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866AD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BE785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232,30%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81AF26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57,12%</w:t>
            </w:r>
          </w:p>
        </w:tc>
      </w:tr>
      <w:tr w:rsidR="00EE0D02" w14:paraId="41663D6C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195B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4B1F7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C3EF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4.782,22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57D19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25A3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DC17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36.334,87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F27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759,79%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E6841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48,45%</w:t>
            </w:r>
          </w:p>
        </w:tc>
      </w:tr>
      <w:tr w:rsidR="00EE0D02" w14:paraId="6C7BCBEE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F34A0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A2902E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1F513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45.622,02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B4D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E6FC1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2276B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56.614,25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F85C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124,09%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2EA95A6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56,61%</w:t>
            </w:r>
          </w:p>
        </w:tc>
      </w:tr>
      <w:tr w:rsidR="00EE0D02" w14:paraId="1672AD87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665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A2F632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CBB20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BCE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4488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1D6B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81FDA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6AA61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EE0D02" w14:paraId="3A3BF185" w14:textId="77777777" w:rsidTr="00EE0D02">
        <w:trPr>
          <w:trHeight w:val="300"/>
        </w:trPr>
        <w:tc>
          <w:tcPr>
            <w:tcW w:w="491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7E079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B4B6D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95F1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14AD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2273A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7AA3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A117E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5DDEDF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91,38%</w:t>
            </w:r>
          </w:p>
        </w:tc>
      </w:tr>
      <w:tr w:rsidR="00EE0D02" w14:paraId="49A65B37" w14:textId="77777777" w:rsidTr="00EE0D02">
        <w:trPr>
          <w:trHeight w:val="315"/>
        </w:trPr>
        <w:tc>
          <w:tcPr>
            <w:tcW w:w="491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D535C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39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3B44F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03E8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7A084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5BB7F" w14:textId="77777777" w:rsidR="00EE0D02" w:rsidRDefault="00EE0D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6E54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6D599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  <w:tc>
          <w:tcPr>
            <w:tcW w:w="130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FD0B47" w14:textId="77777777" w:rsidR="00EE0D02" w:rsidRDefault="00EE0D02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50,00%</w:t>
            </w:r>
          </w:p>
        </w:tc>
      </w:tr>
    </w:tbl>
    <w:p w14:paraId="7331B21B" w14:textId="77777777" w:rsidR="00896EB1" w:rsidRDefault="00896E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4DC5160" w14:textId="77777777" w:rsidR="006B0F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4B35AFAE" w14:textId="77777777" w:rsidR="006B0F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11334E1" w14:textId="77777777" w:rsidR="006B0F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5663606" w14:textId="77777777" w:rsidR="006B0F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A6E403D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8A2F94C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C4BFCE2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C286755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158AA367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0367EF13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6793B0B" w14:textId="77777777" w:rsidR="00EE0D02" w:rsidRDefault="00EE0D02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E427C6C" w14:textId="1CB7BAF5" w:rsidR="00896EB1" w:rsidRDefault="00896E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I.2.c. Izvještaj o rashodima prema funkcijskoj klasifikaciji</w:t>
      </w:r>
    </w:p>
    <w:p w14:paraId="317E304F" w14:textId="77777777" w:rsidR="006B0F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0065" w:type="dxa"/>
        <w:tblInd w:w="-449" w:type="dxa"/>
        <w:tblLayout w:type="fixed"/>
        <w:tblLook w:val="04A0" w:firstRow="1" w:lastRow="0" w:firstColumn="1" w:lastColumn="0" w:noHBand="0" w:noVBand="1"/>
      </w:tblPr>
      <w:tblGrid>
        <w:gridCol w:w="710"/>
        <w:gridCol w:w="1609"/>
        <w:gridCol w:w="1259"/>
        <w:gridCol w:w="1464"/>
        <w:gridCol w:w="913"/>
        <w:gridCol w:w="1275"/>
        <w:gridCol w:w="1418"/>
        <w:gridCol w:w="1417"/>
      </w:tblGrid>
      <w:tr w:rsidR="006B0FB1" w14:paraId="167D2A55" w14:textId="77777777" w:rsidTr="006B0FB1">
        <w:trPr>
          <w:trHeight w:val="315"/>
        </w:trPr>
        <w:tc>
          <w:tcPr>
            <w:tcW w:w="10065" w:type="dxa"/>
            <w:gridSpan w:val="8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5C78846D" w14:textId="77777777" w:rsidR="006B0FB1" w:rsidRDefault="006B0FB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IZVJEŠTAJ O RASHODIMA PREMA FUNKCIJSKOJ KLASIFIKACIJI</w:t>
            </w:r>
          </w:p>
        </w:tc>
      </w:tr>
      <w:tr w:rsidR="006B0FB1" w14:paraId="63109E2D" w14:textId="77777777" w:rsidTr="00EE0D02">
        <w:trPr>
          <w:trHeight w:val="18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ACDC576" w14:textId="77777777" w:rsidR="006B0FB1" w:rsidRDefault="006B0FB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31D1DC1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F0B3F72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Izvršenje plana za 2023.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5D8DB315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I. izmjene i dopune plana za 2024.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01C0F16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2024.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6F7B8C64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71C5CA84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Indeks ostvarenja u odnosu na prethodno razdoblje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4BF72343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I. izmjene i dopune</w:t>
            </w:r>
          </w:p>
        </w:tc>
      </w:tr>
      <w:tr w:rsidR="006B0FB1" w14:paraId="4F2F5D27" w14:textId="77777777" w:rsidTr="00EE0D02">
        <w:trPr>
          <w:trHeight w:val="289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F910037" w14:textId="77777777" w:rsidR="006B0FB1" w:rsidRDefault="006B0FB1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0820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8C1E59E" w14:textId="77777777" w:rsidR="006B0FB1" w:rsidRDefault="006B0FB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SLUŽBA KULTURE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192BB9C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580.432,11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05342804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1.696.000,00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3CEFDAD9" w14:textId="77777777" w:rsidR="006B0FB1" w:rsidRDefault="006B0FB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58AB95EA" w14:textId="77777777" w:rsidR="006B0FB1" w:rsidRDefault="006B0FB1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797.862,19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548235"/>
            <w:vAlign w:val="center"/>
            <w:hideMark/>
          </w:tcPr>
          <w:p w14:paraId="49A31F1A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137,46%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548235"/>
            <w:vAlign w:val="center"/>
            <w:hideMark/>
          </w:tcPr>
          <w:p w14:paraId="11ED1445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47,04%</w:t>
            </w:r>
          </w:p>
        </w:tc>
      </w:tr>
      <w:tr w:rsidR="006B0FB1" w14:paraId="7DCC4774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671582F3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F4D7FB1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1B2873DB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580.432,11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79F16821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3D34B672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2A480204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797.862,19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27821BB0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137,46%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vAlign w:val="center"/>
            <w:hideMark/>
          </w:tcPr>
          <w:p w14:paraId="456CE64F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47,04%</w:t>
            </w:r>
          </w:p>
        </w:tc>
      </w:tr>
      <w:tr w:rsidR="006B0FB1" w14:paraId="1A86CDFD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DE166B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30EC24B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8406C4B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530.027,87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A876A2B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1.491.000,00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800B3D7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DFFE5C5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680.775,57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D1E85E9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128,44%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17044990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45,66%</w:t>
            </w:r>
          </w:p>
        </w:tc>
      </w:tr>
      <w:tr w:rsidR="006B0FB1" w14:paraId="35B974CF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30FC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17BA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00ECB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273.046,55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43B84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830.500,00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C1283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F2A71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341.957,12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C1ED3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125,24%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07A73C1A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41,17%</w:t>
            </w:r>
          </w:p>
        </w:tc>
      </w:tr>
      <w:tr w:rsidR="006B0FB1" w14:paraId="42BA10B3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E7FE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B6FE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FF32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256.847,34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D0199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658.000,00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1BA8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8C409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338.577,78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57C76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131,82%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BC4A9FC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51,46%</w:t>
            </w:r>
          </w:p>
        </w:tc>
      </w:tr>
      <w:tr w:rsidR="006B0FB1" w14:paraId="0BBE21BA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F6915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4477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4A31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133,98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2626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4C4E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D37A2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240,67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1FE3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179,63%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7CB01FBA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9,63%</w:t>
            </w:r>
          </w:p>
        </w:tc>
      </w:tr>
      <w:tr w:rsidR="006B0FB1" w14:paraId="19F496A6" w14:textId="77777777" w:rsidTr="00EE0D02">
        <w:trPr>
          <w:trHeight w:val="300"/>
        </w:trPr>
        <w:tc>
          <w:tcPr>
            <w:tcW w:w="710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1820997D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5AD1DBD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4D5AA085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50.404,24</w:t>
            </w: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8CCE563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205.000,00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788BCFD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33C70E54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7D6CE0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232,30%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vAlign w:val="center"/>
            <w:hideMark/>
          </w:tcPr>
          <w:p w14:paraId="44C6CEB4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57,12%</w:t>
            </w:r>
          </w:p>
        </w:tc>
      </w:tr>
      <w:tr w:rsidR="006B0FB1" w14:paraId="2531527A" w14:textId="77777777" w:rsidTr="00EE0D02">
        <w:trPr>
          <w:trHeight w:val="705"/>
        </w:trPr>
        <w:tc>
          <w:tcPr>
            <w:tcW w:w="710" w:type="dxa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2E2D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6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C6650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25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DEF78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50.404,24</w:t>
            </w:r>
          </w:p>
        </w:tc>
        <w:tc>
          <w:tcPr>
            <w:tcW w:w="1464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8915B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205.000,00</w:t>
            </w:r>
          </w:p>
        </w:tc>
        <w:tc>
          <w:tcPr>
            <w:tcW w:w="9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D23D3" w14:textId="77777777" w:rsidR="006B0FB1" w:rsidRDefault="006B0FB1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458B4" w14:textId="77777777" w:rsidR="006B0FB1" w:rsidRDefault="006B0FB1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117.086,62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BBF64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232,30%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3A3C8B" w14:textId="77777777" w:rsidR="006B0FB1" w:rsidRDefault="006B0FB1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57,12%</w:t>
            </w:r>
          </w:p>
        </w:tc>
      </w:tr>
    </w:tbl>
    <w:p w14:paraId="3BD68FC8" w14:textId="77777777" w:rsidR="006B0FB1" w:rsidRPr="00896EB1" w:rsidRDefault="006B0F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2D2A1C9" w14:textId="77777777" w:rsidR="004C0249" w:rsidRDefault="004C0249" w:rsidP="006F7C1E">
      <w:pPr>
        <w:pStyle w:val="ListParagraph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207AC1B4" w14:textId="77777777" w:rsidR="003E6B30" w:rsidRDefault="003E6B30" w:rsidP="006F7C1E">
      <w:pPr>
        <w:pStyle w:val="ListParagraph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7E3741B6" w14:textId="77777777" w:rsidR="003E6B30" w:rsidRDefault="003E6B30" w:rsidP="006F7C1E">
      <w:pPr>
        <w:pStyle w:val="ListParagraph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54DFA528" w14:textId="77777777" w:rsidR="003E6B30" w:rsidRDefault="003E6B30" w:rsidP="006F7C1E">
      <w:pPr>
        <w:pStyle w:val="ListParagraph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1C1908E6" w14:textId="77777777" w:rsidR="003E6B30" w:rsidRDefault="003E6B30" w:rsidP="006F7C1E">
      <w:pPr>
        <w:pStyle w:val="ListParagraph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7D55D4C2" w14:textId="77777777" w:rsidR="003E6B30" w:rsidRDefault="003E6B30" w:rsidP="006F7C1E">
      <w:pPr>
        <w:pStyle w:val="ListParagraph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27CC9C83" w14:textId="77777777" w:rsidR="003E6B30" w:rsidRDefault="003E6B30" w:rsidP="006F7C1E">
      <w:pPr>
        <w:pStyle w:val="ListParagraph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779C5DAB" w14:textId="77777777" w:rsidR="00972277" w:rsidRDefault="00972277" w:rsidP="006F7C1E">
      <w:pPr>
        <w:pStyle w:val="ListParagraph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6E99215F" w14:textId="77777777" w:rsidR="0053732D" w:rsidRDefault="0053732D" w:rsidP="006F7C1E">
      <w:pPr>
        <w:pStyle w:val="ListParagraph"/>
        <w:spacing w:line="360" w:lineRule="auto"/>
        <w:ind w:left="1080"/>
        <w:jc w:val="both"/>
        <w:rPr>
          <w:rFonts w:asciiTheme="minorHAnsi" w:hAnsiTheme="minorHAnsi" w:cstheme="minorHAnsi"/>
          <w:b/>
          <w:bCs/>
        </w:rPr>
      </w:pPr>
    </w:p>
    <w:p w14:paraId="7832B8D5" w14:textId="77777777" w:rsidR="003E6B30" w:rsidRDefault="003E6B30" w:rsidP="00D46E5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0D75653" w14:textId="77777777" w:rsidR="006B0FB1" w:rsidRPr="00D46E51" w:rsidRDefault="006B0FB1" w:rsidP="00D46E5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6BF46B93" w14:textId="53B32091" w:rsidR="00896EB1" w:rsidRPr="0053732D" w:rsidRDefault="00896EB1" w:rsidP="00896EB1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lastRenderedPageBreak/>
        <w:t>POSEBNI DIO</w:t>
      </w:r>
    </w:p>
    <w:p w14:paraId="4ED248F2" w14:textId="764F78EF" w:rsidR="00896EB1" w:rsidRDefault="00896EB1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II.</w:t>
      </w:r>
      <w:r w:rsidR="0076316C">
        <w:rPr>
          <w:rFonts w:asciiTheme="minorHAnsi" w:hAnsiTheme="minorHAnsi" w:cstheme="minorHAnsi"/>
          <w:b/>
          <w:bCs/>
        </w:rPr>
        <w:t>1</w:t>
      </w:r>
      <w:r>
        <w:rPr>
          <w:rFonts w:asciiTheme="minorHAnsi" w:hAnsiTheme="minorHAnsi" w:cstheme="minorHAnsi"/>
          <w:b/>
          <w:bCs/>
        </w:rPr>
        <w:t>. Izvještaj po programskoj klasifikaciji</w:t>
      </w:r>
    </w:p>
    <w:p w14:paraId="7A10EEEC" w14:textId="77777777" w:rsidR="0053732D" w:rsidRDefault="0053732D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tbl>
      <w:tblPr>
        <w:tblW w:w="11099" w:type="dxa"/>
        <w:tblInd w:w="-1016" w:type="dxa"/>
        <w:tblLook w:val="04A0" w:firstRow="1" w:lastRow="0" w:firstColumn="1" w:lastColumn="0" w:noHBand="0" w:noVBand="1"/>
      </w:tblPr>
      <w:tblGrid>
        <w:gridCol w:w="1707"/>
        <w:gridCol w:w="2691"/>
        <w:gridCol w:w="1415"/>
        <w:gridCol w:w="1701"/>
        <w:gridCol w:w="1720"/>
        <w:gridCol w:w="1865"/>
      </w:tblGrid>
      <w:tr w:rsidR="0053732D" w:rsidRPr="0053732D" w14:paraId="1C62494B" w14:textId="77777777" w:rsidTr="0053732D">
        <w:trPr>
          <w:trHeight w:val="990"/>
        </w:trPr>
        <w:tc>
          <w:tcPr>
            <w:tcW w:w="11099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D966"/>
            <w:vAlign w:val="center"/>
            <w:hideMark/>
          </w:tcPr>
          <w:p w14:paraId="71F9EF6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POSEBNI DIO</w:t>
            </w: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RASHODI I IZDACI PO PROGRAMSKOJ, EKONOMSKOJ KLASIFIKACIJI I IZVORIMA FINANCIRANJA</w:t>
            </w: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RASHODI I IZDACI</w:t>
            </w:r>
          </w:p>
        </w:tc>
      </w:tr>
      <w:tr w:rsidR="0053732D" w:rsidRPr="0053732D" w14:paraId="581DC2A1" w14:textId="77777777" w:rsidTr="0053732D">
        <w:trPr>
          <w:trHeight w:val="902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01A273ED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32D">
              <w:rPr>
                <w:rFonts w:ascii="Calibri" w:hAnsi="Calibri" w:cs="Calibri"/>
                <w:b/>
                <w:bCs/>
                <w:sz w:val="22"/>
                <w:szCs w:val="22"/>
              </w:rPr>
              <w:t>Račun rashoda/izdatka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noWrap/>
            <w:vAlign w:val="center"/>
            <w:hideMark/>
          </w:tcPr>
          <w:p w14:paraId="50460EF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32D">
              <w:rPr>
                <w:rFonts w:ascii="Calibri" w:hAnsi="Calibri" w:cs="Calibri"/>
                <w:b/>
                <w:bCs/>
                <w:sz w:val="22"/>
                <w:szCs w:val="22"/>
              </w:rPr>
              <w:t>Naziv računa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14:paraId="2AB9A2C1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32D">
              <w:rPr>
                <w:rFonts w:ascii="Calibri" w:hAnsi="Calibri" w:cs="Calibri"/>
                <w:b/>
                <w:bCs/>
                <w:sz w:val="22"/>
                <w:szCs w:val="22"/>
              </w:rPr>
              <w:t>I. izmjene i dopune plana za 2024.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2EA596D0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32D">
              <w:rPr>
                <w:rFonts w:ascii="Calibri" w:hAnsi="Calibri" w:cs="Calibri"/>
                <w:b/>
                <w:bCs/>
                <w:sz w:val="22"/>
                <w:szCs w:val="22"/>
              </w:rPr>
              <w:t>Tekući plan 2024.</w:t>
            </w:r>
          </w:p>
        </w:tc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EB9C"/>
            <w:vAlign w:val="center"/>
            <w:hideMark/>
          </w:tcPr>
          <w:p w14:paraId="2197751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32D">
              <w:rPr>
                <w:rFonts w:ascii="Calibri" w:hAnsi="Calibri" w:cs="Calibri"/>
                <w:b/>
                <w:bCs/>
                <w:sz w:val="22"/>
                <w:szCs w:val="22"/>
              </w:rPr>
              <w:t>Polugodišnje izvršenje plana</w:t>
            </w:r>
          </w:p>
        </w:tc>
        <w:tc>
          <w:tcPr>
            <w:tcW w:w="1865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000000" w:fill="FFEB9C"/>
            <w:vAlign w:val="center"/>
            <w:hideMark/>
          </w:tcPr>
          <w:p w14:paraId="4A73D0CA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3732D">
              <w:rPr>
                <w:rFonts w:ascii="Calibri" w:hAnsi="Calibri" w:cs="Calibri"/>
                <w:b/>
                <w:bCs/>
                <w:sz w:val="22"/>
                <w:szCs w:val="22"/>
              </w:rPr>
              <w:t>Indeks ostvarenja u odnosu na I. izmjene i dopune</w:t>
            </w:r>
          </w:p>
        </w:tc>
      </w:tr>
      <w:tr w:rsidR="0053732D" w:rsidRPr="0053732D" w14:paraId="6BCE172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C06DE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44574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HRVATSKO NARODNO KAZALIŠTE U ŠIBENIKU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D6543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1.696.000,00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6A2FC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B8B98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797.862,19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FB2DCD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47,04%</w:t>
            </w:r>
          </w:p>
        </w:tc>
      </w:tr>
      <w:tr w:rsidR="0053732D" w:rsidRPr="0053732D" w14:paraId="497CBAE9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5B8CE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F399ACA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F4108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1.183.000,00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12BAA8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3A6E9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542.625,26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3B247E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45,87%</w:t>
            </w:r>
          </w:p>
        </w:tc>
      </w:tr>
      <w:tr w:rsidR="0053732D" w:rsidRPr="0053732D" w14:paraId="65CFBF9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1B689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89456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3919C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D9E9D1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FD653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20.959,65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C21553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32,75%</w:t>
            </w:r>
          </w:p>
        </w:tc>
      </w:tr>
      <w:tr w:rsidR="0053732D" w:rsidRPr="0053732D" w14:paraId="0C68205E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DF66ADB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6E53B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08D51C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879DD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5BEB9F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67.350,58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0F1EEE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53,45%</w:t>
            </w:r>
          </w:p>
        </w:tc>
      </w:tr>
      <w:tr w:rsidR="0053732D" w:rsidRPr="0053732D" w14:paraId="61B1AE04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AE6C0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72ECA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EDD80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233.000,00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984524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455B60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141.689,91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734050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60,81%</w:t>
            </w:r>
          </w:p>
        </w:tc>
      </w:tr>
      <w:tr w:rsidR="0053732D" w:rsidRPr="0053732D" w14:paraId="7176E70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6DAC7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27D2E7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6D372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3EA4A9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E3C076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2.615,00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FF5BD9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6,54%</w:t>
            </w:r>
          </w:p>
        </w:tc>
      </w:tr>
      <w:tr w:rsidR="0053732D" w:rsidRPr="0053732D" w14:paraId="2B4E907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988DE1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BCF23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5A439E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84E800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91709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8.484,29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049A377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28,28%</w:t>
            </w:r>
          </w:p>
        </w:tc>
      </w:tr>
      <w:tr w:rsidR="0053732D" w:rsidRPr="0053732D" w14:paraId="2A2FB01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08327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583E86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77789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5ABAD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BE662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C60D74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91,38%</w:t>
            </w:r>
          </w:p>
        </w:tc>
      </w:tr>
      <w:tr w:rsidR="0053732D" w:rsidRPr="0053732D" w14:paraId="7DA04BD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83080C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D875D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62DD63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80827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1980F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5767CD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50,00%</w:t>
            </w:r>
          </w:p>
        </w:tc>
      </w:tr>
      <w:tr w:rsidR="0053732D" w:rsidRPr="0053732D" w14:paraId="513FA51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98BAF5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ED148E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PROGRAMI KULTURE 153001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DE7CD7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1.190.000,00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0C33E5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D3BEBE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557.407,86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2ED58AE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46,84%</w:t>
            </w:r>
          </w:p>
        </w:tc>
      </w:tr>
      <w:tr w:rsidR="0053732D" w:rsidRPr="0053732D" w14:paraId="72FFC5F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1ADABB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EA15A1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Kazališna direkcija 15300101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F099FD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1.190.000,00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4698A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25B47C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557.407,86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62DDD34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46,84%</w:t>
            </w:r>
          </w:p>
        </w:tc>
      </w:tr>
      <w:tr w:rsidR="0053732D" w:rsidRPr="0053732D" w14:paraId="4C49A93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59F61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4278B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01EE73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C98187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EE989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464.771,63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95FD3B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44,48%</w:t>
            </w:r>
          </w:p>
        </w:tc>
      </w:tr>
      <w:tr w:rsidR="0053732D" w:rsidRPr="0053732D" w14:paraId="3093F00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ED4A0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3D6DA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Rashodi za zaposlene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1A425E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830.500,00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4E523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4B54FF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341.957,12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AC988D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41,17%</w:t>
            </w:r>
          </w:p>
        </w:tc>
      </w:tr>
      <w:tr w:rsidR="0053732D" w:rsidRPr="0053732D" w14:paraId="2C2B6B1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C3EC5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0D99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Plaće za redovan rad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6CE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665.000,00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918C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9769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257.918,64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C7844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38,78%</w:t>
            </w:r>
          </w:p>
        </w:tc>
      </w:tr>
      <w:tr w:rsidR="0053732D" w:rsidRPr="0053732D" w14:paraId="6C542AB4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75700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5D1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Ostali rashodi za zaposlene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CF6C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E55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22B8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46.947,34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4C834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63,44%</w:t>
            </w:r>
          </w:p>
        </w:tc>
      </w:tr>
      <w:tr w:rsidR="0053732D" w:rsidRPr="0053732D" w14:paraId="660B2A5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7304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3FB6B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Doprinosi za obvezno zdravstveno osiguranje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119C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91.500,00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7B6E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05ED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37.091,14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9303F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40,54%</w:t>
            </w:r>
          </w:p>
        </w:tc>
      </w:tr>
      <w:tr w:rsidR="0053732D" w:rsidRPr="0053732D" w14:paraId="396C7C21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6413C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56F69A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3F7F2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138.500,00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FF170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D24138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86.387,75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C0F138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62,37%</w:t>
            </w:r>
          </w:p>
        </w:tc>
      </w:tr>
      <w:tr w:rsidR="0053732D" w:rsidRPr="0053732D" w14:paraId="6934E30D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2DB4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2EBB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A8D4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B7C1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81B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5.060,17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5579F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84,34%</w:t>
            </w:r>
          </w:p>
        </w:tc>
      </w:tr>
      <w:tr w:rsidR="0053732D" w:rsidRPr="0053732D" w14:paraId="74B91C8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76043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3212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AB7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Naknade za prijevoz, za rad na terenu i odvojeni život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2550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0B1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39D9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9.624,70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C15A7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64,16%</w:t>
            </w:r>
          </w:p>
        </w:tc>
      </w:tr>
      <w:tr w:rsidR="0053732D" w:rsidRPr="0053732D" w14:paraId="5FD996DB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8BDA2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3213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F87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Stručno usavršavanje zaposlenika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0C5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917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B5C7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15.061,10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2775A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83,67%</w:t>
            </w:r>
          </w:p>
        </w:tc>
      </w:tr>
      <w:tr w:rsidR="0053732D" w:rsidRPr="0053732D" w14:paraId="22753C5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D2DD2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981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C38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F368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CC7B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10.013,69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879BE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143,05%</w:t>
            </w:r>
          </w:p>
        </w:tc>
      </w:tr>
      <w:tr w:rsidR="0053732D" w:rsidRPr="0053732D" w14:paraId="34ED2DAC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7E73D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ED3A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A3B8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A9B0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A7ED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10.405,21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AFC38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69,37%</w:t>
            </w:r>
          </w:p>
        </w:tc>
      </w:tr>
      <w:tr w:rsidR="0053732D" w:rsidRPr="0053732D" w14:paraId="6786034C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DDD3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3224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CC75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 i dijelovi za tekuće i investicijsko održavanje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7790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765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784D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3.916,66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BF8CB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78,33%</w:t>
            </w:r>
          </w:p>
        </w:tc>
      </w:tr>
      <w:tr w:rsidR="0053732D" w:rsidRPr="0053732D" w14:paraId="1F43662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96B14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DAA6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EAD2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5571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970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277,91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40853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55,58%</w:t>
            </w:r>
          </w:p>
        </w:tc>
      </w:tr>
      <w:tr w:rsidR="0053732D" w:rsidRPr="0053732D" w14:paraId="3E896AF9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1969D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FFB1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Službena, radna i zaštitna odjeća i obuća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D107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DF6C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2188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203,66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54994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4,07%</w:t>
            </w:r>
          </w:p>
        </w:tc>
      </w:tr>
      <w:tr w:rsidR="0053732D" w:rsidRPr="0053732D" w14:paraId="3249975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9AA33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4E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15B9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336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4FE6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6.343,95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5E0F5F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79,30%</w:t>
            </w:r>
          </w:p>
        </w:tc>
      </w:tr>
      <w:tr w:rsidR="0053732D" w:rsidRPr="0053732D" w14:paraId="2E9939C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FD9C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31DE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Usluge tekućeg i investicijskog održavanja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E387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95DD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B97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2.569,13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84616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12,85%</w:t>
            </w:r>
          </w:p>
        </w:tc>
      </w:tr>
      <w:tr w:rsidR="0053732D" w:rsidRPr="0053732D" w14:paraId="65BE3489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987B1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5E5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8BD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84E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BC08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127,44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B4D0E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3,19%</w:t>
            </w:r>
          </w:p>
        </w:tc>
      </w:tr>
      <w:tr w:rsidR="0053732D" w:rsidRPr="0053732D" w14:paraId="138C596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252B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C4CB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Komunalne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7C33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94B2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20B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2.003,26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B792E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66,78%</w:t>
            </w:r>
          </w:p>
        </w:tc>
      </w:tr>
      <w:tr w:rsidR="0053732D" w:rsidRPr="0053732D" w14:paraId="082C759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E8D0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4F96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065D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FD44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A8B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312,50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CB4BE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31,25%</w:t>
            </w:r>
          </w:p>
        </w:tc>
      </w:tr>
      <w:tr w:rsidR="0053732D" w:rsidRPr="0053732D" w14:paraId="390AFCC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858E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78C7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4259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3F25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3F80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5.099,63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9FD06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101,99%</w:t>
            </w:r>
          </w:p>
        </w:tc>
      </w:tr>
      <w:tr w:rsidR="0053732D" w:rsidRPr="0053732D" w14:paraId="158662BE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00D5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EBD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8A1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AE05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DDAA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244,21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D69F91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24,42%</w:t>
            </w:r>
          </w:p>
        </w:tc>
      </w:tr>
      <w:tr w:rsidR="0053732D" w:rsidRPr="0053732D" w14:paraId="22A08AE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6D615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FD34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8F0A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4464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D9F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1.827,35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FE160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45,68%</w:t>
            </w:r>
          </w:p>
        </w:tc>
      </w:tr>
      <w:tr w:rsidR="0053732D" w:rsidRPr="0053732D" w14:paraId="6D971294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75EA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450E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F640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E869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15D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5.068,56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05CD0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72,41%</w:t>
            </w:r>
          </w:p>
        </w:tc>
      </w:tr>
      <w:tr w:rsidR="0053732D" w:rsidRPr="0053732D" w14:paraId="2F6D232C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0A8D5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9D0F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Naknade za rad predstavničkih i izvršnih tijela, povjerenstava i slično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2688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1B46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A7D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1.188,87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9071D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23,78%</w:t>
            </w:r>
          </w:p>
        </w:tc>
      </w:tr>
      <w:tr w:rsidR="0053732D" w:rsidRPr="0053732D" w14:paraId="2604573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B1A71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2112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Premije osiguranja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8F68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6B8C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011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4.827,13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6C3864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80,45%</w:t>
            </w:r>
          </w:p>
        </w:tc>
      </w:tr>
      <w:tr w:rsidR="0053732D" w:rsidRPr="0053732D" w14:paraId="7B10F2A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1F27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01FF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6306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C915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0F5A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969,56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5DA85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96,96%</w:t>
            </w:r>
          </w:p>
        </w:tc>
      </w:tr>
      <w:tr w:rsidR="0053732D" w:rsidRPr="0053732D" w14:paraId="2968E59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A5FC3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AD5B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Članarine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F5D0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03DF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5181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431,62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495C5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86,32%</w:t>
            </w:r>
          </w:p>
        </w:tc>
      </w:tr>
      <w:tr w:rsidR="0053732D" w:rsidRPr="0053732D" w14:paraId="01B889BC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D16E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5044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Pristojbe i naknade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AF2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9F83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4FA0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236,53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4399FE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47,31%</w:t>
            </w:r>
          </w:p>
        </w:tc>
      </w:tr>
      <w:tr w:rsidR="0053732D" w:rsidRPr="0053732D" w14:paraId="489B188D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8ADD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E1F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63E1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844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5466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574,91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94BB63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57,49%</w:t>
            </w:r>
          </w:p>
        </w:tc>
      </w:tr>
      <w:tr w:rsidR="0053732D" w:rsidRPr="0053732D" w14:paraId="19AB101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09C3A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A281E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5E5E4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53834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F877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91,89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E5CD02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9,19%</w:t>
            </w:r>
          </w:p>
        </w:tc>
      </w:tr>
      <w:tr w:rsidR="0053732D" w:rsidRPr="0053732D" w14:paraId="24A9C81B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3F4C0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3433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159C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Zatezne kamate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DA33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C891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419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91,89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F07433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9,19%</w:t>
            </w:r>
          </w:p>
        </w:tc>
      </w:tr>
      <w:tr w:rsidR="0053732D" w:rsidRPr="0053732D" w14:paraId="1BE3009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6E7FB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26430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E6628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95F6A2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77429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36.334,87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642632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48,45%</w:t>
            </w:r>
          </w:p>
        </w:tc>
      </w:tr>
      <w:tr w:rsidR="0053732D" w:rsidRPr="0053732D" w14:paraId="3885FA6B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ACC3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943A1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455D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D4D6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3D4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3.379,87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4AB3E6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67,60%</w:t>
            </w:r>
          </w:p>
        </w:tc>
      </w:tr>
      <w:tr w:rsidR="0053732D" w:rsidRPr="0053732D" w14:paraId="5E249F9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49E29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4222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42B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Komunikacijska oprema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04CA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AA61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3D73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443EA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51A9E3EC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B85A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4223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C33A1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Oprema za održavanje i zaštitu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586A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5C0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57A1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5F8B7A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430D932B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9AA4D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7367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0919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E80C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F6F9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32.955,00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047F1A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47,76%</w:t>
            </w:r>
          </w:p>
        </w:tc>
      </w:tr>
      <w:tr w:rsidR="0053732D" w:rsidRPr="0053732D" w14:paraId="7F1CC48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D39EC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37E2C8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A80005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B9A627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CBFA2E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11.735,70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ED8680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90,27%</w:t>
            </w:r>
          </w:p>
        </w:tc>
      </w:tr>
      <w:tr w:rsidR="0053732D" w:rsidRPr="0053732D" w14:paraId="5BCC1F1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ABD74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46F1BE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8E6DF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1CAE8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B5FAA0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11.735,70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00A077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93,89%</w:t>
            </w:r>
          </w:p>
        </w:tc>
      </w:tr>
      <w:tr w:rsidR="0053732D" w:rsidRPr="0053732D" w14:paraId="32DDACB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09EAD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421F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 i sirovine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8201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46CB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ACE0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512,60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3F639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51,26%</w:t>
            </w:r>
          </w:p>
        </w:tc>
      </w:tr>
      <w:tr w:rsidR="0053732D" w:rsidRPr="0053732D" w14:paraId="15E0768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6EBB9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E07DA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0028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E923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C549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4.981,46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F72F5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124,54%</w:t>
            </w:r>
          </w:p>
        </w:tc>
      </w:tr>
      <w:tr w:rsidR="0053732D" w:rsidRPr="0053732D" w14:paraId="5501F85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EC811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1D8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F865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2216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7BA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AF815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026C8E4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1069C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762D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C51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23E30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9CED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6.241,64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310467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96,03%</w:t>
            </w:r>
          </w:p>
        </w:tc>
      </w:tr>
      <w:tr w:rsidR="0053732D" w:rsidRPr="0053732D" w14:paraId="57C7AB61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9B69C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36AACC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43565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53EF6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713BA7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AE5AA6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342D9275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06804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3432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740E0A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Negativne tečajne razlike i razlike zbog primjene valutne klauzule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B853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1E13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93C1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734159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4376F24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358605B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075525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FE4677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61F8E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1959B0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10.148,78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3684DA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84,57%</w:t>
            </w:r>
          </w:p>
        </w:tc>
      </w:tr>
      <w:tr w:rsidR="0053732D" w:rsidRPr="0053732D" w14:paraId="1AED9A7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53970F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B0D35C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A9396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80BFB1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AD411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07A6894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2DBA4C9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AFAF5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A3FE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3466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DF6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7EB5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44BDF1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7084763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F18675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422AF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Financijski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376E07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8EA29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00D89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148,78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C811EB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14,88%</w:t>
            </w:r>
          </w:p>
        </w:tc>
      </w:tr>
      <w:tr w:rsidR="0053732D" w:rsidRPr="0053732D" w14:paraId="43D5245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757F3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3431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5BB7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Bankarske usluge i usluge platnog prometa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5112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EFD7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E6A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148,78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44148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14,88%</w:t>
            </w:r>
          </w:p>
        </w:tc>
      </w:tr>
      <w:tr w:rsidR="0053732D" w:rsidRPr="0053732D" w14:paraId="1A31B21E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DEE8C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95F53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ECF24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018847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D77F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F0FBF7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53732D" w:rsidRPr="0053732D" w14:paraId="62AB798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AFA0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76D5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Prijevozna sredstva u cestovnom prometu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411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0598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D2F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C8993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53732D" w:rsidRPr="0053732D" w14:paraId="338E92A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61E4A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18D550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60495A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3732D">
              <w:rPr>
                <w:rFonts w:ascii="Calibri" w:hAnsi="Calibri" w:cs="Calibri"/>
                <w:sz w:val="22"/>
                <w:szCs w:val="22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8EE483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3732D">
              <w:rPr>
                <w:rFonts w:ascii="Calibri" w:hAnsi="Calibri" w:cs="Calibri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562FD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3732D">
              <w:rPr>
                <w:rFonts w:ascii="Calibri" w:hAnsi="Calibri" w:cs="Calibri"/>
                <w:sz w:val="22"/>
                <w:szCs w:val="22"/>
              </w:rPr>
              <w:t>56.614,25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D752EB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56,61%</w:t>
            </w:r>
          </w:p>
        </w:tc>
      </w:tr>
      <w:tr w:rsidR="0053732D" w:rsidRPr="0053732D" w14:paraId="4075DD2E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F9BE40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87F3E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A5B00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B5EC9B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E6D754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56.614,25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839120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56,61%</w:t>
            </w:r>
          </w:p>
        </w:tc>
      </w:tr>
      <w:tr w:rsidR="0053732D" w:rsidRPr="0053732D" w14:paraId="7C3E2FF1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2F592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39CE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84DD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E58B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D4B4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56.614,25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9CC4F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56,61%</w:t>
            </w:r>
          </w:p>
        </w:tc>
      </w:tr>
      <w:tr w:rsidR="0053732D" w:rsidRPr="0053732D" w14:paraId="390733DA" w14:textId="77777777" w:rsidTr="0053732D">
        <w:trPr>
          <w:trHeight w:val="6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C2316D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vAlign w:val="bottom"/>
            <w:hideMark/>
          </w:tcPr>
          <w:p w14:paraId="4CEF0C9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prihodi za posebne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C40A8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D3A91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309BF7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8037E0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91,38%</w:t>
            </w:r>
          </w:p>
        </w:tc>
      </w:tr>
      <w:tr w:rsidR="0053732D" w:rsidRPr="0053732D" w14:paraId="137894B9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5D138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1C2FA0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FFE020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9FD40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496E1F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9.137,50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B66D7F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91,38%</w:t>
            </w:r>
          </w:p>
        </w:tc>
      </w:tr>
      <w:tr w:rsidR="0053732D" w:rsidRPr="0053732D" w14:paraId="328ACB6E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E3D33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E85A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Uredska oprema i namještaj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0D0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238E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CF53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D47476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192963D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F76E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300D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415B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0FC2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FC6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4.137,50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C44F7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137,92%</w:t>
            </w:r>
          </w:p>
        </w:tc>
      </w:tr>
      <w:tr w:rsidR="0053732D" w:rsidRPr="0053732D" w14:paraId="434AEB3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91B1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1C46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Prijevozna sredstva u cestovnom prometu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7BAD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6CE3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48E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7917BE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53732D" w:rsidRPr="0053732D" w14:paraId="6962377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C2D78F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7865E1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Višak prihoda iz prethodne godine - vlastiti prihodi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8D57C3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0A2EB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AF87F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F00B66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50,00%</w:t>
            </w:r>
          </w:p>
        </w:tc>
      </w:tr>
      <w:tr w:rsidR="0053732D" w:rsidRPr="0053732D" w14:paraId="0572C62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7F6332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B15737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Rashodi za nabavu proizvedene dugotrajne imovine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FAEE9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A04C0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91B0B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D342B6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50,00%</w:t>
            </w:r>
          </w:p>
        </w:tc>
      </w:tr>
      <w:tr w:rsidR="0053732D" w:rsidRPr="0053732D" w14:paraId="5643B221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75EB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968F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Uređaji, strojevi i oprema za ostale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FD4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0862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8501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F4E00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3BDB603D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754D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1F89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Prijevozna sredstva u cestovnom prometu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AAF2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ED73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2531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C5A362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53732D" w:rsidRPr="0053732D" w14:paraId="3D0B1B7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A07CC3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833365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KAZALIŠNI PROGRAMI 153002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6FB7D2C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167.000,00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A1E518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82B2A5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129.997,56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2B036A2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77,84%</w:t>
            </w:r>
          </w:p>
        </w:tc>
      </w:tr>
      <w:tr w:rsidR="0053732D" w:rsidRPr="0053732D" w14:paraId="345CE6D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E29E69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88035C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Kazališni programi 15300201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9CD88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12CACA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9E97B0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97.778,13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1D21CA5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79,49%</w:t>
            </w:r>
          </w:p>
        </w:tc>
      </w:tr>
      <w:tr w:rsidR="0053732D" w:rsidRPr="0053732D" w14:paraId="35C231B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10A18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81135D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4C7BA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30DF8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9FC35C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32.404,20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BA7F72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72,01%</w:t>
            </w:r>
          </w:p>
        </w:tc>
      </w:tr>
      <w:tr w:rsidR="0053732D" w:rsidRPr="0053732D" w14:paraId="02BBDEA9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F943E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AF686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246510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A03AC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FB18E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32.404,20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2F7AD3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72,01%</w:t>
            </w:r>
          </w:p>
        </w:tc>
      </w:tr>
      <w:tr w:rsidR="0053732D" w:rsidRPr="0053732D" w14:paraId="0D3744A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B329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2DD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9C0D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87D2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63B1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388,01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45360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9,70%</w:t>
            </w:r>
          </w:p>
        </w:tc>
      </w:tr>
      <w:tr w:rsidR="0053732D" w:rsidRPr="0053732D" w14:paraId="79419A6C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1696D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63B4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C49C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88DB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DD7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2.837,01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2D55C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141,85%</w:t>
            </w:r>
          </w:p>
        </w:tc>
      </w:tr>
      <w:tr w:rsidR="0053732D" w:rsidRPr="0053732D" w14:paraId="04DAECD5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1239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E119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860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FC9A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E33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2.361,39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C81BA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59,03%</w:t>
            </w:r>
          </w:p>
        </w:tc>
      </w:tr>
      <w:tr w:rsidR="0053732D" w:rsidRPr="0053732D" w14:paraId="4BAD320B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67AA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1DF1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94D2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AC8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8749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F9D96C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017C9BCE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5B839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92F9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34EE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6E3B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A974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C59862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606CAF3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1D733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97D3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4B8F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812E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EC7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14.346,97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5D1E5E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84,39%</w:t>
            </w:r>
          </w:p>
        </w:tc>
      </w:tr>
      <w:tr w:rsidR="0053732D" w:rsidRPr="0053732D" w14:paraId="2B1B896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BDACE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5DF4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3D42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A85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95A2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3.428,27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084A0D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85,71%</w:t>
            </w:r>
          </w:p>
        </w:tc>
      </w:tr>
      <w:tr w:rsidR="0053732D" w:rsidRPr="0053732D" w14:paraId="28800E0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6BD0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EE40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EB5B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EDB5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2787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5.004,14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7746CD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111,20%</w:t>
            </w:r>
          </w:p>
        </w:tc>
      </w:tr>
      <w:tr w:rsidR="0053732D" w:rsidRPr="0053732D" w14:paraId="40D5E4A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71CE6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C952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2945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B18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0E70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1.195,44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A4AC0D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119,54%</w:t>
            </w:r>
          </w:p>
        </w:tc>
      </w:tr>
      <w:tr w:rsidR="0053732D" w:rsidRPr="0053732D" w14:paraId="67EFD9B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E87A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3710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4ECA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A0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6292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2.842,97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514BEF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71,07%</w:t>
            </w:r>
          </w:p>
        </w:tc>
      </w:tr>
      <w:tr w:rsidR="0053732D" w:rsidRPr="0053732D" w14:paraId="1D9BE8B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8150D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07743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40244A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610E9B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1E25DD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50.399,45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44376EA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80,00%</w:t>
            </w:r>
          </w:p>
        </w:tc>
      </w:tr>
      <w:tr w:rsidR="0053732D" w:rsidRPr="0053732D" w14:paraId="71D18CD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13A656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5011FB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CE988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ABF8B1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4846A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50.399,45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CCC39C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80,00%</w:t>
            </w:r>
          </w:p>
        </w:tc>
      </w:tr>
      <w:tr w:rsidR="0053732D" w:rsidRPr="0053732D" w14:paraId="7F59349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3FBC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D0A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0B2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15.500,00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2CBE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436E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7.359,60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A8A1BC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47,48%</w:t>
            </w:r>
          </w:p>
        </w:tc>
      </w:tr>
      <w:tr w:rsidR="0053732D" w:rsidRPr="0053732D" w14:paraId="046B42AD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F8F2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5140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E78F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41B9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153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526,17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86E241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13,15%</w:t>
            </w:r>
          </w:p>
        </w:tc>
      </w:tr>
      <w:tr w:rsidR="0053732D" w:rsidRPr="0053732D" w14:paraId="6E4E5BE1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A2C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7053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FBCA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67E2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1C22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9.384,35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C82504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93,84%</w:t>
            </w:r>
          </w:p>
        </w:tc>
      </w:tr>
      <w:tr w:rsidR="0053732D" w:rsidRPr="0053732D" w14:paraId="473ACA91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7A765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DB3D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848D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22.500,00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54B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F228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31.277,95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12BC53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139,01%</w:t>
            </w:r>
          </w:p>
        </w:tc>
      </w:tr>
      <w:tr w:rsidR="0053732D" w:rsidRPr="0053732D" w14:paraId="5D8CEA4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9FDDC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CAAF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717C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8E00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81EA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1.334,38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2BBA0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26,69%</w:t>
            </w:r>
          </w:p>
        </w:tc>
      </w:tr>
      <w:tr w:rsidR="0053732D" w:rsidRPr="0053732D" w14:paraId="677F850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454B4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225A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A59B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DCA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DF9B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517,00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B30BAE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12,93%</w:t>
            </w:r>
          </w:p>
        </w:tc>
      </w:tr>
      <w:tr w:rsidR="0053732D" w:rsidRPr="0053732D" w14:paraId="521902D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B469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BDE5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D59F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03E1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A62B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D495A4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4EAEC41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8E38D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F28327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24608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97497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E97BA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14.974,48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83A467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99,83%</w:t>
            </w:r>
          </w:p>
        </w:tc>
      </w:tr>
      <w:tr w:rsidR="0053732D" w:rsidRPr="0053732D" w14:paraId="03B0A35B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1A54CF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85A84B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9630E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BDF81E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86A52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14.974,48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079975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99,83%</w:t>
            </w:r>
          </w:p>
        </w:tc>
      </w:tr>
      <w:tr w:rsidR="0053732D" w:rsidRPr="0053732D" w14:paraId="145A132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78226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8A61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Sitni inventar i auto gume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98F30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3732D">
              <w:rPr>
                <w:rFonts w:ascii="Calibri" w:hAnsi="Calibri" w:cs="Calibri"/>
                <w:sz w:val="22"/>
                <w:szCs w:val="22"/>
              </w:rPr>
              <w:t>3.200,00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B1687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011A7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3.183,35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60DF0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99,48%</w:t>
            </w:r>
          </w:p>
        </w:tc>
      </w:tr>
      <w:tr w:rsidR="0053732D" w:rsidRPr="0053732D" w14:paraId="08AE8CF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D646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1CE2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FCA3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11.800,00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DA4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F724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11.791,13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909B9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99,92%</w:t>
            </w:r>
          </w:p>
        </w:tc>
      </w:tr>
      <w:tr w:rsidR="0053732D" w:rsidRPr="0053732D" w14:paraId="1AE0FEE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B62725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7AC842B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Program dramskih gostovanja 15300202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FB3AC7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AECFAC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505D3CC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32.219,43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23F220C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73,23%</w:t>
            </w:r>
          </w:p>
        </w:tc>
      </w:tr>
      <w:tr w:rsidR="0053732D" w:rsidRPr="0053732D" w14:paraId="60EE9CB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4A0117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BCA5CB1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52CC1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B72E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122FF4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12.156,61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6A7081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81,04%</w:t>
            </w:r>
          </w:p>
        </w:tc>
      </w:tr>
      <w:tr w:rsidR="0053732D" w:rsidRPr="0053732D" w14:paraId="71012F3C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CFF1F6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65779C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9AA5B7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82A14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7195C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12.156,61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558BD89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81,04%</w:t>
            </w:r>
          </w:p>
        </w:tc>
      </w:tr>
      <w:tr w:rsidR="0053732D" w:rsidRPr="0053732D" w14:paraId="3F2F53B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FFD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CBC7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5ECA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4A5F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F289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6.497,70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F55872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64,98%</w:t>
            </w:r>
          </w:p>
        </w:tc>
      </w:tr>
      <w:tr w:rsidR="0053732D" w:rsidRPr="0053732D" w14:paraId="6269112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A637A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FF4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D582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CDEC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BAB7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3.121,70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7CD19F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78,04%</w:t>
            </w:r>
          </w:p>
        </w:tc>
      </w:tr>
      <w:tr w:rsidR="0053732D" w:rsidRPr="0053732D" w14:paraId="5B39874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521B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946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8A69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5FE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7E15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2.537,21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DD41F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253,72%</w:t>
            </w:r>
          </w:p>
        </w:tc>
      </w:tr>
      <w:tr w:rsidR="0053732D" w:rsidRPr="0053732D" w14:paraId="5B112FA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06F50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AF2BF4C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A1917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56475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FAB40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ED98D5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90,00%</w:t>
            </w:r>
          </w:p>
        </w:tc>
      </w:tr>
      <w:tr w:rsidR="0053732D" w:rsidRPr="0053732D" w14:paraId="39F1BB51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5E181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DCE54C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97929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DF701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DBF5E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37566B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90,00%</w:t>
            </w:r>
          </w:p>
        </w:tc>
      </w:tr>
      <w:tr w:rsidR="0053732D" w:rsidRPr="0053732D" w14:paraId="72CD112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BE78C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EA68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7332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23C2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8DF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1528D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6A0C6FE5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FCD4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B2E0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09FC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F413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6526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33BDF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53732D" w:rsidRPr="0053732D" w14:paraId="59B78F4B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A2D8DF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AD0F0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2683F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2A08CD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44706B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3.062,82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53D97DA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27,84%</w:t>
            </w:r>
          </w:p>
        </w:tc>
      </w:tr>
      <w:tr w:rsidR="0053732D" w:rsidRPr="0053732D" w14:paraId="6E7407F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011F9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25BA8C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2726CD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AC6681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94417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3.062,82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A9FC5C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27,84%</w:t>
            </w:r>
          </w:p>
        </w:tc>
      </w:tr>
      <w:tr w:rsidR="0053732D" w:rsidRPr="0053732D" w14:paraId="0556A09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254EF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615CAA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CF21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08B2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79B2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550,00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09142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9,17%</w:t>
            </w:r>
          </w:p>
        </w:tc>
      </w:tr>
      <w:tr w:rsidR="0053732D" w:rsidRPr="0053732D" w14:paraId="312EED4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B8FD4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9A31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2727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EE3A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3B8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7D4FE5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15344E1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2BA0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77F9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60CF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B013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9A2D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1.695,20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46A185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84,76%</w:t>
            </w:r>
          </w:p>
        </w:tc>
      </w:tr>
      <w:tr w:rsidR="0053732D" w:rsidRPr="0053732D" w14:paraId="3708031E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5BB8E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8E43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8039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DFF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5DE1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817,62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D636F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40,88%</w:t>
            </w:r>
          </w:p>
        </w:tc>
      </w:tr>
      <w:tr w:rsidR="0053732D" w:rsidRPr="0053732D" w14:paraId="4174506D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6C57C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C6FA0B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175744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1F9D16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7E35CE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87090E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53732D" w:rsidRPr="0053732D" w14:paraId="35C4821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63E434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DA716C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21243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877F32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B710F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761243E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53732D" w:rsidRPr="0053732D" w14:paraId="4BA1BE95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64AC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F18C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78A9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53732D">
              <w:rPr>
                <w:rFonts w:ascii="Calibri" w:hAnsi="Calibri" w:cs="Calibri"/>
                <w:sz w:val="22"/>
                <w:szCs w:val="22"/>
              </w:rPr>
              <w:t>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D5B2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3F219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8.000,00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9F874B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100,00%</w:t>
            </w:r>
          </w:p>
        </w:tc>
      </w:tr>
      <w:tr w:rsidR="0053732D" w:rsidRPr="0053732D" w14:paraId="6ACEC08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71945F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3F9D63BA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GLAZBENO SCENSKI PROGRAMI 153003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407B85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738301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19A6CB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5.382,80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6C49EB2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29,90%</w:t>
            </w:r>
          </w:p>
        </w:tc>
      </w:tr>
      <w:tr w:rsidR="0053732D" w:rsidRPr="0053732D" w14:paraId="31E3BC3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8BD165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91002D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Glazbeno scenski programi 15300301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648F0A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18.000,00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17442F2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D0A1E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5.382,80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37E045D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29,90%</w:t>
            </w:r>
          </w:p>
        </w:tc>
      </w:tr>
      <w:tr w:rsidR="0053732D" w:rsidRPr="0053732D" w14:paraId="167CA3B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B880E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9358EC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6B3745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D82CD6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E0DB65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2.617,80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F17FE1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23,80%</w:t>
            </w:r>
          </w:p>
        </w:tc>
      </w:tr>
      <w:tr w:rsidR="0053732D" w:rsidRPr="0053732D" w14:paraId="24B01AD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6A041C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D09050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E13AAA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87785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20F5C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2.617,80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E82A2E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23,80%</w:t>
            </w:r>
          </w:p>
        </w:tc>
      </w:tr>
      <w:tr w:rsidR="0053732D" w:rsidRPr="0053732D" w14:paraId="42E91FF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5019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7861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938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C130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F239E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252,64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BA4F8C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50,53%</w:t>
            </w:r>
          </w:p>
        </w:tc>
      </w:tr>
      <w:tr w:rsidR="0053732D" w:rsidRPr="0053732D" w14:paraId="27A0E5EC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3F79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8C38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1B8D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86D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EBC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F40CE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3871FFF5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151F1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18821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445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9813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4FC24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DCCB5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73D46E8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51FB1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D79E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B74E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FB84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D3BC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54B464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75AF3D2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1359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1C82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797D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9FF7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AF7D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1.495,03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361B02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21,36%</w:t>
            </w:r>
          </w:p>
        </w:tc>
      </w:tr>
      <w:tr w:rsidR="0053732D" w:rsidRPr="0053732D" w14:paraId="1D5FBF61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E678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B799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544B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A01A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EB7C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463,48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FDA2E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42,13%</w:t>
            </w:r>
          </w:p>
        </w:tc>
      </w:tr>
      <w:tr w:rsidR="0053732D" w:rsidRPr="0053732D" w14:paraId="033384A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DB3F1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D29BC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6F93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D71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EC5C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146,80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07116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29,36%</w:t>
            </w:r>
          </w:p>
        </w:tc>
      </w:tr>
      <w:tr w:rsidR="0053732D" w:rsidRPr="0053732D" w14:paraId="704B365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7AD1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88BB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458D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067B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8129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34,17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84D809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6,83%</w:t>
            </w:r>
          </w:p>
        </w:tc>
      </w:tr>
      <w:tr w:rsidR="0053732D" w:rsidRPr="0053732D" w14:paraId="03FDE09D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6965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80DC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4523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3158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D6DB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225,68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7174D5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45,14%</w:t>
            </w:r>
          </w:p>
        </w:tc>
      </w:tr>
      <w:tr w:rsidR="0053732D" w:rsidRPr="0053732D" w14:paraId="56122635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D9EA5C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A4991D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36DA05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FAC969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7B1959F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2.765,00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169E684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39,50%</w:t>
            </w:r>
          </w:p>
        </w:tc>
      </w:tr>
      <w:tr w:rsidR="0053732D" w:rsidRPr="0053732D" w14:paraId="601EBCAB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50999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C221E7C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3F85DF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A392A7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1FD6E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2.765,00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683249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39,50%</w:t>
            </w:r>
          </w:p>
        </w:tc>
      </w:tr>
      <w:tr w:rsidR="0053732D" w:rsidRPr="0053732D" w14:paraId="77ED70B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38DED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9951B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Službena putovanja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9ECB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B4CB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B350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108,00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91EA6B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5,40%</w:t>
            </w:r>
          </w:p>
        </w:tc>
      </w:tr>
      <w:tr w:rsidR="0053732D" w:rsidRPr="0053732D" w14:paraId="086421AE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956C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3ACF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9BD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CF2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1575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2.657,00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A50CA0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53,14%</w:t>
            </w:r>
          </w:p>
        </w:tc>
      </w:tr>
      <w:tr w:rsidR="0053732D" w:rsidRPr="0053732D" w14:paraId="5915E07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046CB24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5901269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MEĐUNARODNI DJEČJI FESTIVAL 153004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1C332B6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7215DEF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bottom"/>
            <w:hideMark/>
          </w:tcPr>
          <w:p w14:paraId="4C18B3C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105.073,97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A9D08E"/>
            <w:noWrap/>
            <w:vAlign w:val="bottom"/>
            <w:hideMark/>
          </w:tcPr>
          <w:p w14:paraId="6AB5BCB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32,73%</w:t>
            </w:r>
          </w:p>
        </w:tc>
      </w:tr>
      <w:tr w:rsidR="0053732D" w:rsidRPr="0053732D" w14:paraId="6CBA02ED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37513E9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2DA653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Međunarodni dječji festival 15300401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4F69EAB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2D5D378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bottom"/>
            <w:hideMark/>
          </w:tcPr>
          <w:p w14:paraId="6C273A5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105.073,97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C6E0B4"/>
            <w:noWrap/>
            <w:vAlign w:val="bottom"/>
            <w:hideMark/>
          </w:tcPr>
          <w:p w14:paraId="37F5D35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32,73%</w:t>
            </w:r>
          </w:p>
        </w:tc>
      </w:tr>
      <w:tr w:rsidR="0053732D" w:rsidRPr="0053732D" w14:paraId="0D2468ED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70F3921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E0F8AB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Opći prihodi i primici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549859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097D0E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B35BA8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30.675,02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740D47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45,78%</w:t>
            </w:r>
          </w:p>
        </w:tc>
      </w:tr>
      <w:tr w:rsidR="0053732D" w:rsidRPr="0053732D" w14:paraId="7432A0D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8D9F17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C12146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CA4FAD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67.000,00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382B6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5E6D13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30.675,02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32F4CB9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45,78%</w:t>
            </w:r>
          </w:p>
        </w:tc>
      </w:tr>
      <w:tr w:rsidR="0053732D" w:rsidRPr="0053732D" w14:paraId="77D461B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13B29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72D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Uredski materijal i ostali 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D0E2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5A20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8E1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3.354,07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514BE4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67,08%</w:t>
            </w:r>
          </w:p>
        </w:tc>
      </w:tr>
      <w:tr w:rsidR="0053732D" w:rsidRPr="0053732D" w14:paraId="69EDA65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8A1C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3223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320A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Energija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951C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43B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8B5A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09D345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4CED27B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2AB3F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07BB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6B73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F27A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1CCE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A7E5E1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2CF0AA3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AA07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B5D36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Usluge promidžbe i informiranja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A1E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6169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DA79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4.264,00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13856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426,40%</w:t>
            </w:r>
          </w:p>
        </w:tc>
      </w:tr>
      <w:tr w:rsidR="0053732D" w:rsidRPr="0053732D" w14:paraId="49725F1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DC603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3238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21B0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Računalne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053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C525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EDBF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75,00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958A9A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15,00%</w:t>
            </w:r>
          </w:p>
        </w:tc>
      </w:tr>
      <w:tr w:rsidR="0053732D" w:rsidRPr="0053732D" w14:paraId="47CA741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6B7E4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98B0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812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EE88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F0C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8.466,59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F83366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169,33%</w:t>
            </w:r>
          </w:p>
        </w:tc>
      </w:tr>
      <w:tr w:rsidR="0053732D" w:rsidRPr="0053732D" w14:paraId="64D54D0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4876C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C17B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C83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99B6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D1E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10.643,66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3D904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33,26%</w:t>
            </w:r>
          </w:p>
        </w:tc>
      </w:tr>
      <w:tr w:rsidR="0053732D" w:rsidRPr="0053732D" w14:paraId="01F25AF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835AB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3293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C931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Reprezentacija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6687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28D3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198E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3.871,70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A4C3A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25,81%</w:t>
            </w:r>
          </w:p>
        </w:tc>
      </w:tr>
      <w:tr w:rsidR="0053732D" w:rsidRPr="0053732D" w14:paraId="4103D136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998C79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52EC4FB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Vlastiti prihodi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E478DB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A14E96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F4B876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223,95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2F96A34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0,55%</w:t>
            </w:r>
          </w:p>
        </w:tc>
      </w:tr>
      <w:tr w:rsidR="0053732D" w:rsidRPr="0053732D" w14:paraId="627676A4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A7DD15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7D4F6C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00D34E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5B2286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EC4C5A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223,95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DDF16B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0,55%</w:t>
            </w:r>
          </w:p>
        </w:tc>
      </w:tr>
      <w:tr w:rsidR="0053732D" w:rsidRPr="0053732D" w14:paraId="2BB8E43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25275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4D6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FA49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ABFC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02B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223,95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14EC45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0,55%</w:t>
            </w:r>
          </w:p>
        </w:tc>
      </w:tr>
      <w:tr w:rsidR="0053732D" w:rsidRPr="0053732D" w14:paraId="5F2EAD28" w14:textId="77777777" w:rsidTr="0053732D">
        <w:trPr>
          <w:trHeight w:val="300"/>
        </w:trPr>
        <w:tc>
          <w:tcPr>
            <w:tcW w:w="1707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F17E0F4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21DDBB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Prihodi za posebne namjene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E82C4A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9C0592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329D78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974,53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73E617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2,95%</w:t>
            </w:r>
          </w:p>
        </w:tc>
      </w:tr>
      <w:tr w:rsidR="0053732D" w:rsidRPr="0053732D" w14:paraId="5859CFB8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B5D2F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6A214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08A427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33.000,00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325454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7E03B9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974,53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405A040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2,95%</w:t>
            </w:r>
          </w:p>
        </w:tc>
      </w:tr>
      <w:tr w:rsidR="0053732D" w:rsidRPr="0053732D" w14:paraId="390CA31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A8C1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9E9A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Usluge telefona, pošte i prijevoza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12D0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9FA8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DE13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BD5EDB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57E8E83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9E354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2E0EA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B2AD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7CFB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8E70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813,28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93532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81,33%</w:t>
            </w:r>
          </w:p>
        </w:tc>
      </w:tr>
      <w:tr w:rsidR="0053732D" w:rsidRPr="0053732D" w14:paraId="34E23A1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530E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FCD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71CF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26.000,00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E638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164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60D3CC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6509581C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9332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3299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7E07F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Ostali nespomenuti rashodi poslovanja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C413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F26C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C94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161,25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9F8B37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3,23%</w:t>
            </w:r>
          </w:p>
        </w:tc>
      </w:tr>
      <w:tr w:rsidR="0053732D" w:rsidRPr="0053732D" w14:paraId="5F229D4F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286046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5A63181D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Pomoći iz državnog proračuna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26A0FBA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08E438A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365EFEFE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62.101,18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75692E5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56,46%</w:t>
            </w:r>
          </w:p>
        </w:tc>
      </w:tr>
      <w:tr w:rsidR="0053732D" w:rsidRPr="0053732D" w14:paraId="705373D2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F9CF6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3970F0C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528E44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CCB268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890F61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62.101,18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2C3E627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56,46%</w:t>
            </w:r>
          </w:p>
        </w:tc>
      </w:tr>
      <w:tr w:rsidR="0053732D" w:rsidRPr="0053732D" w14:paraId="06224EBC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F3946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3235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5012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Zakupnine i najamnine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B17E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FE83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D02F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11.840,20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D16936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29,60%</w:t>
            </w:r>
          </w:p>
        </w:tc>
      </w:tr>
      <w:tr w:rsidR="0053732D" w:rsidRPr="0053732D" w14:paraId="1599A53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3341F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38172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9D9B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3140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5D3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50.260,98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B0C655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83,77%</w:t>
            </w:r>
          </w:p>
        </w:tc>
      </w:tr>
      <w:tr w:rsidR="0053732D" w:rsidRPr="0053732D" w14:paraId="772648DA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2D457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3241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8E665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Naknade troškova osobama izvan radnog odnosa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B93E6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10.000,00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5A4E9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46DF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69C599A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0,00%</w:t>
            </w:r>
          </w:p>
        </w:tc>
      </w:tr>
      <w:tr w:rsidR="0053732D" w:rsidRPr="0053732D" w14:paraId="0C8BA893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2C5C038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52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76BE2E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Pomoći iz županijskog proračuna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0ECD1D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83A4293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E18E0B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2.615,00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3B7181C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6,54%</w:t>
            </w:r>
          </w:p>
        </w:tc>
      </w:tr>
      <w:tr w:rsidR="0053732D" w:rsidRPr="0053732D" w14:paraId="0791D0F0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4CED29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72A840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AD8992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6839CA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1D7AB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2.615,00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FFAE78C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6,54%</w:t>
            </w:r>
          </w:p>
        </w:tc>
      </w:tr>
      <w:tr w:rsidR="0053732D" w:rsidRPr="0053732D" w14:paraId="3E44ACAB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92A09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3A2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94AA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40.000,00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0B19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ADDE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2.615,00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2FC92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6,54%</w:t>
            </w:r>
          </w:p>
        </w:tc>
      </w:tr>
      <w:tr w:rsidR="0053732D" w:rsidRPr="0053732D" w14:paraId="0D3A6E8E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BA0EB3E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61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76DA289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Donacije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640122B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1A9E4C4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bottom"/>
            <w:hideMark/>
          </w:tcPr>
          <w:p w14:paraId="45E132A8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8.484,29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2CC"/>
            <w:noWrap/>
            <w:vAlign w:val="bottom"/>
            <w:hideMark/>
          </w:tcPr>
          <w:p w14:paraId="6B614254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28,28%</w:t>
            </w:r>
          </w:p>
        </w:tc>
      </w:tr>
      <w:tr w:rsidR="0053732D" w:rsidRPr="0053732D" w14:paraId="1D8F8FB9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5AFEF9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9864713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Materijalni rashodi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615C9F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2B2CD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64B96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8.484,29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E2EFDA"/>
            <w:noWrap/>
            <w:vAlign w:val="bottom"/>
            <w:hideMark/>
          </w:tcPr>
          <w:p w14:paraId="6728A6B0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28,28%</w:t>
            </w:r>
          </w:p>
        </w:tc>
      </w:tr>
      <w:tr w:rsidR="0053732D" w:rsidRPr="0053732D" w14:paraId="689A53A7" w14:textId="77777777" w:rsidTr="0053732D">
        <w:trPr>
          <w:trHeight w:val="300"/>
        </w:trPr>
        <w:tc>
          <w:tcPr>
            <w:tcW w:w="1707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96142" w14:textId="77777777" w:rsidR="0053732D" w:rsidRPr="0053732D" w:rsidRDefault="0053732D" w:rsidP="0053732D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3237</w:t>
            </w:r>
          </w:p>
        </w:tc>
        <w:tc>
          <w:tcPr>
            <w:tcW w:w="2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4EB87" w14:textId="77777777" w:rsidR="0053732D" w:rsidRPr="0053732D" w:rsidRDefault="0053732D" w:rsidP="0053732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Intelektualne i osobne usluge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C8FFB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30.000,00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1C6647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C8051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8.484,29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238B0D" w14:textId="77777777" w:rsidR="0053732D" w:rsidRPr="0053732D" w:rsidRDefault="0053732D" w:rsidP="0053732D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3732D">
              <w:rPr>
                <w:rFonts w:ascii="Calibri" w:hAnsi="Calibri" w:cs="Calibri"/>
                <w:color w:val="000000"/>
                <w:sz w:val="22"/>
                <w:szCs w:val="22"/>
              </w:rPr>
              <w:t>28,28%</w:t>
            </w:r>
          </w:p>
        </w:tc>
      </w:tr>
    </w:tbl>
    <w:p w14:paraId="4A3A3718" w14:textId="77777777" w:rsidR="0053732D" w:rsidRDefault="0053732D" w:rsidP="00896EB1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2B58E9E3" w14:textId="0D116230" w:rsidR="00D41EE3" w:rsidRDefault="00D41EE3">
      <w:pPr>
        <w:rPr>
          <w:rFonts w:asciiTheme="minorHAnsi" w:hAnsiTheme="minorHAnsi" w:cstheme="minorHAnsi"/>
        </w:rPr>
      </w:pPr>
    </w:p>
    <w:p w14:paraId="3997776D" w14:textId="77777777" w:rsidR="008C3257" w:rsidRPr="0028560A" w:rsidRDefault="008C3257">
      <w:pPr>
        <w:rPr>
          <w:rFonts w:asciiTheme="minorHAnsi" w:hAnsiTheme="minorHAnsi" w:cstheme="minorHAnsi"/>
        </w:rPr>
      </w:pPr>
    </w:p>
    <w:p w14:paraId="090C2D82" w14:textId="333A97F6" w:rsidR="00D41EE3" w:rsidRPr="0028560A" w:rsidRDefault="00D41EE3">
      <w:pPr>
        <w:rPr>
          <w:rFonts w:asciiTheme="minorHAnsi" w:hAnsiTheme="minorHAnsi" w:cstheme="minorHAnsi"/>
        </w:rPr>
      </w:pPr>
    </w:p>
    <w:p w14:paraId="08CE14FB" w14:textId="7B5ABCA5" w:rsidR="00EF504C" w:rsidRPr="00EF504C" w:rsidRDefault="00EF504C" w:rsidP="00EF504C">
      <w:pPr>
        <w:rPr>
          <w:rFonts w:asciiTheme="minorHAnsi" w:hAnsiTheme="minorHAnsi" w:cstheme="minorHAnsi"/>
          <w:b/>
          <w:bCs/>
        </w:rPr>
      </w:pPr>
      <w:r w:rsidRPr="00EF504C">
        <w:rPr>
          <w:rFonts w:asciiTheme="minorHAnsi" w:hAnsiTheme="minorHAnsi" w:cstheme="minorHAnsi"/>
          <w:b/>
          <w:bCs/>
        </w:rPr>
        <w:t>III. OBRAZLOŽENJE</w:t>
      </w:r>
    </w:p>
    <w:p w14:paraId="0E66AE64" w14:textId="77777777" w:rsidR="00EF504C" w:rsidRPr="00EF504C" w:rsidRDefault="00EF504C" w:rsidP="00EF504C">
      <w:pPr>
        <w:pStyle w:val="ListParagraph"/>
        <w:ind w:left="1080"/>
        <w:rPr>
          <w:rFonts w:asciiTheme="minorHAnsi" w:hAnsiTheme="minorHAnsi" w:cstheme="minorHAnsi"/>
        </w:rPr>
      </w:pPr>
    </w:p>
    <w:p w14:paraId="6BCAD9F6" w14:textId="77777777" w:rsidR="00EF504C" w:rsidRPr="00EF504C" w:rsidRDefault="00EF504C" w:rsidP="00EF504C">
      <w:pPr>
        <w:pStyle w:val="ListParagraph"/>
        <w:ind w:left="1080"/>
        <w:rPr>
          <w:rFonts w:asciiTheme="minorHAnsi" w:hAnsiTheme="minorHAnsi" w:cstheme="minorHAnsi"/>
        </w:rPr>
      </w:pPr>
    </w:p>
    <w:p w14:paraId="65079C00" w14:textId="46E40A32" w:rsidR="00EF504C" w:rsidRPr="00EF504C" w:rsidRDefault="00C6118B" w:rsidP="00C6118B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EF504C" w:rsidRPr="00EF504C">
        <w:rPr>
          <w:rFonts w:asciiTheme="minorHAnsi" w:hAnsiTheme="minorHAnsi" w:cstheme="minorHAnsi"/>
        </w:rPr>
        <w:t xml:space="preserve">Hrvatsko narodno kazalište u Šibeniku osnovano je Odlukom Gradskog vijeća grada Šibenika (KLASA: 612-03/95-01/2, URBROJ: 2182/01-05-2) 28. travnja 1995. godine i Odlukom o izmjenama i dopunama Odluke o osnivanju kazališne kuće Šibenskog kazališta (KLASA: 612-03/95-01/6, URBROJ: 2182/01-95-1) od 19. listopada 1995. godine. Odlukom Gradskog vijeća grada Šibenika od 19. prosinca 2006. godine, Odluka o osnivanju kazališne kuće Šibenskog kazališta usklađena je s odredbama Zakona o kazalištima („Narodne novine“ br. 23/2023.). </w:t>
      </w:r>
    </w:p>
    <w:p w14:paraId="6FF89C64" w14:textId="77777777" w:rsidR="00EF504C" w:rsidRPr="00EF504C" w:rsidRDefault="00EF504C" w:rsidP="00C6118B">
      <w:pPr>
        <w:spacing w:line="276" w:lineRule="auto"/>
        <w:jc w:val="both"/>
        <w:rPr>
          <w:rFonts w:asciiTheme="minorHAnsi" w:hAnsiTheme="minorHAnsi" w:cstheme="minorHAnsi"/>
        </w:rPr>
      </w:pPr>
    </w:p>
    <w:p w14:paraId="2F9493DA" w14:textId="77777777" w:rsidR="00EF504C" w:rsidRPr="00EF504C" w:rsidRDefault="00EF504C" w:rsidP="00C6118B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Odlukom o osnivanju kazališta – Hrvatsko narodno kazalište u Šibeniku (KLASA: 612-01/10-01/2, URBROJ: 2182/01-05-10-2), koju je donijelo Gradsko vijeće grada Šibenika dana 14. travnja 2010. godine, usklađeni su opći akti kazališne kuće – Šibensko kazalište s odredbama Zakona o kazalištu na način da se dotadašnja kazališna kuća preustrojila u kazalište – Hrvatsko narodno kazalište u Šibeniku sa svrhom trajnog obavljanja kazališne djelatnosti, sukladno odredbama Zakona o kazalištima i Zakona o ustanovama. Hrvatsko narodno kazalište u Šibeniku utemeljeno na višestoljetnoj kazališnoj i općekulturnoj tradiciji tisućljetnog Šibenika, javno je kazalište koje se bavi pripremom i organizacijom te javnim izvođenjem dramskih, glazbeno-scenskih, lutkarskih i drugih scenskih djela. HNK u Šibeniku organizira i manifestaciju dječjeg stvaralaštva i stvaralaštva za djecu Međunarodni dječji festival Šibenik – Hrvatska.</w:t>
      </w:r>
    </w:p>
    <w:p w14:paraId="71F8DED8" w14:textId="77777777" w:rsidR="00EF504C" w:rsidRPr="00EF504C" w:rsidRDefault="00EF504C" w:rsidP="00C6118B">
      <w:pPr>
        <w:spacing w:line="276" w:lineRule="auto"/>
        <w:jc w:val="both"/>
        <w:rPr>
          <w:rFonts w:asciiTheme="minorHAnsi" w:hAnsiTheme="minorHAnsi" w:cstheme="minorHAnsi"/>
        </w:rPr>
      </w:pPr>
    </w:p>
    <w:p w14:paraId="7389FDB3" w14:textId="39386DE9" w:rsidR="00EF504C" w:rsidRPr="00EF504C" w:rsidRDefault="00EF504C" w:rsidP="00C6118B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Izmjenama i dopunama financijskog plana za 202</w:t>
      </w:r>
      <w:r w:rsidR="0053732D">
        <w:rPr>
          <w:rFonts w:asciiTheme="minorHAnsi" w:hAnsiTheme="minorHAnsi" w:cstheme="minorHAnsi"/>
        </w:rPr>
        <w:t>4</w:t>
      </w:r>
      <w:r w:rsidRPr="00EF504C">
        <w:rPr>
          <w:rFonts w:asciiTheme="minorHAnsi" w:hAnsiTheme="minorHAnsi" w:cstheme="minorHAnsi"/>
        </w:rPr>
        <w:t>. godinu planiran je uravnoteženi ukupan financijski plan u visini od 1.</w:t>
      </w:r>
      <w:r w:rsidR="00880CDF">
        <w:rPr>
          <w:rFonts w:asciiTheme="minorHAnsi" w:hAnsiTheme="minorHAnsi" w:cstheme="minorHAnsi"/>
        </w:rPr>
        <w:t>696.000,00</w:t>
      </w:r>
      <w:r w:rsidRPr="00EF504C">
        <w:rPr>
          <w:rFonts w:asciiTheme="minorHAnsi" w:hAnsiTheme="minorHAnsi" w:cstheme="minorHAnsi"/>
        </w:rPr>
        <w:t xml:space="preserve"> eura, a izvršen je u visini od </w:t>
      </w:r>
      <w:r w:rsidR="00454742">
        <w:rPr>
          <w:rFonts w:asciiTheme="minorHAnsi" w:hAnsiTheme="minorHAnsi" w:cstheme="minorHAnsi"/>
        </w:rPr>
        <w:t xml:space="preserve">797.862,19 </w:t>
      </w:r>
      <w:r w:rsidRPr="00EF504C">
        <w:rPr>
          <w:rFonts w:asciiTheme="minorHAnsi" w:hAnsiTheme="minorHAnsi" w:cstheme="minorHAnsi"/>
        </w:rPr>
        <w:t xml:space="preserve">eura rashoda i visini od </w:t>
      </w:r>
      <w:r w:rsidR="00454742" w:rsidRPr="00454742">
        <w:rPr>
          <w:rFonts w:asciiTheme="minorHAnsi" w:hAnsiTheme="minorHAnsi" w:cstheme="minorHAnsi"/>
        </w:rPr>
        <w:t>883</w:t>
      </w:r>
      <w:r w:rsidR="00454742">
        <w:rPr>
          <w:rFonts w:asciiTheme="minorHAnsi" w:hAnsiTheme="minorHAnsi" w:cstheme="minorHAnsi"/>
        </w:rPr>
        <w:t>.</w:t>
      </w:r>
      <w:r w:rsidR="00454742" w:rsidRPr="00454742">
        <w:rPr>
          <w:rFonts w:asciiTheme="minorHAnsi" w:hAnsiTheme="minorHAnsi" w:cstheme="minorHAnsi"/>
        </w:rPr>
        <w:t>068,3</w:t>
      </w:r>
      <w:r w:rsidR="00454742">
        <w:rPr>
          <w:rFonts w:asciiTheme="minorHAnsi" w:hAnsiTheme="minorHAnsi" w:cstheme="minorHAnsi"/>
        </w:rPr>
        <w:t xml:space="preserve">0 </w:t>
      </w:r>
      <w:r w:rsidRPr="00EF504C">
        <w:rPr>
          <w:rFonts w:asciiTheme="minorHAnsi" w:hAnsiTheme="minorHAnsi" w:cstheme="minorHAnsi"/>
        </w:rPr>
        <w:t>eura  prihoda. Financijskim planom utvrđeno je ostvarivanje programa Kazališna direkcija, Kazališni programi, Glazbeno-scenski programi i Međunarodni dječji festival.</w:t>
      </w:r>
    </w:p>
    <w:p w14:paraId="0FD6B856" w14:textId="77777777" w:rsidR="00EF504C" w:rsidRDefault="00EF504C" w:rsidP="00EF504C">
      <w:pPr>
        <w:spacing w:line="360" w:lineRule="auto"/>
        <w:jc w:val="both"/>
        <w:rPr>
          <w:rFonts w:asciiTheme="minorHAnsi" w:hAnsiTheme="minorHAnsi" w:cstheme="minorHAnsi"/>
        </w:rPr>
      </w:pPr>
    </w:p>
    <w:p w14:paraId="2C330DC7" w14:textId="77777777" w:rsidR="00EF504C" w:rsidRDefault="00EF504C" w:rsidP="00EF504C">
      <w:pPr>
        <w:spacing w:line="360" w:lineRule="auto"/>
        <w:jc w:val="both"/>
        <w:rPr>
          <w:rFonts w:asciiTheme="minorHAnsi" w:hAnsiTheme="minorHAnsi" w:cstheme="minorHAnsi"/>
        </w:rPr>
      </w:pPr>
    </w:p>
    <w:p w14:paraId="61164170" w14:textId="77777777" w:rsidR="00EF504C" w:rsidRDefault="00EF504C" w:rsidP="00EF504C">
      <w:pPr>
        <w:spacing w:line="360" w:lineRule="auto"/>
        <w:jc w:val="both"/>
        <w:rPr>
          <w:rFonts w:asciiTheme="minorHAnsi" w:hAnsiTheme="minorHAnsi" w:cstheme="minorHAnsi"/>
        </w:rPr>
      </w:pPr>
    </w:p>
    <w:p w14:paraId="2AFF4B1A" w14:textId="77777777" w:rsidR="0053732D" w:rsidRDefault="0053732D" w:rsidP="00EF504C">
      <w:pPr>
        <w:spacing w:line="360" w:lineRule="auto"/>
        <w:jc w:val="both"/>
        <w:rPr>
          <w:rFonts w:asciiTheme="minorHAnsi" w:hAnsiTheme="minorHAnsi" w:cstheme="minorHAnsi"/>
        </w:rPr>
      </w:pPr>
    </w:p>
    <w:p w14:paraId="69E641EA" w14:textId="77777777" w:rsidR="00C6118B" w:rsidRPr="00EF504C" w:rsidRDefault="00C6118B" w:rsidP="00EF504C">
      <w:pPr>
        <w:spacing w:line="360" w:lineRule="auto"/>
        <w:jc w:val="both"/>
        <w:rPr>
          <w:rFonts w:asciiTheme="minorHAnsi" w:hAnsiTheme="minorHAnsi" w:cstheme="minorHAnsi"/>
        </w:rPr>
      </w:pPr>
    </w:p>
    <w:p w14:paraId="3B6A7BE8" w14:textId="474D8320" w:rsidR="00EF504C" w:rsidRPr="00C6118B" w:rsidRDefault="00EF504C" w:rsidP="00EF504C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C6118B">
        <w:rPr>
          <w:rFonts w:asciiTheme="minorHAnsi" w:hAnsiTheme="minorHAnsi" w:cstheme="minorHAnsi"/>
          <w:b/>
          <w:bCs/>
        </w:rPr>
        <w:lastRenderedPageBreak/>
        <w:t>III.1.</w:t>
      </w:r>
      <w:r w:rsidR="00C6118B" w:rsidRPr="00C6118B">
        <w:rPr>
          <w:rFonts w:asciiTheme="minorHAnsi" w:hAnsiTheme="minorHAnsi" w:cstheme="minorHAnsi"/>
          <w:b/>
          <w:bCs/>
        </w:rPr>
        <w:t xml:space="preserve"> </w:t>
      </w:r>
      <w:r w:rsidRPr="00C6118B">
        <w:rPr>
          <w:rFonts w:asciiTheme="minorHAnsi" w:hAnsiTheme="minorHAnsi" w:cstheme="minorHAnsi"/>
          <w:b/>
          <w:bCs/>
        </w:rPr>
        <w:t>OBRAZLOŽENJE OSTVARENJA PRIHODA I RASHODA</w:t>
      </w:r>
    </w:p>
    <w:p w14:paraId="369EC184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</w:p>
    <w:p w14:paraId="7F2043C0" w14:textId="524CF643" w:rsidR="00EF504C" w:rsidRPr="005F04CC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EF504C" w:rsidRPr="00EF504C">
        <w:rPr>
          <w:rFonts w:asciiTheme="minorHAnsi" w:hAnsiTheme="minorHAnsi" w:cstheme="minorHAnsi"/>
        </w:rPr>
        <w:t>Ukupni prihodi poslovanja HNK U ŠIBENIKU u prvom polugodištu 202</w:t>
      </w:r>
      <w:r w:rsidR="0053732D">
        <w:rPr>
          <w:rFonts w:asciiTheme="minorHAnsi" w:hAnsiTheme="minorHAnsi" w:cstheme="minorHAnsi"/>
        </w:rPr>
        <w:t>4</w:t>
      </w:r>
      <w:r w:rsidR="00EF504C" w:rsidRPr="00EF504C">
        <w:rPr>
          <w:rFonts w:asciiTheme="minorHAnsi" w:hAnsiTheme="minorHAnsi" w:cstheme="minorHAnsi"/>
        </w:rPr>
        <w:t xml:space="preserve">. godine iznose </w:t>
      </w:r>
      <w:r w:rsidR="00454742" w:rsidRPr="00454742">
        <w:rPr>
          <w:rFonts w:asciiTheme="minorHAnsi" w:hAnsiTheme="minorHAnsi" w:cstheme="minorHAnsi"/>
        </w:rPr>
        <w:t>883</w:t>
      </w:r>
      <w:r w:rsidR="00454742">
        <w:rPr>
          <w:rFonts w:asciiTheme="minorHAnsi" w:hAnsiTheme="minorHAnsi" w:cstheme="minorHAnsi"/>
        </w:rPr>
        <w:t>.</w:t>
      </w:r>
      <w:r w:rsidR="00454742" w:rsidRPr="00454742">
        <w:rPr>
          <w:rFonts w:asciiTheme="minorHAnsi" w:hAnsiTheme="minorHAnsi" w:cstheme="minorHAnsi"/>
        </w:rPr>
        <w:t>068,3</w:t>
      </w:r>
      <w:r w:rsidR="00454742">
        <w:rPr>
          <w:rFonts w:asciiTheme="minorHAnsi" w:hAnsiTheme="minorHAnsi" w:cstheme="minorHAnsi"/>
        </w:rPr>
        <w:t xml:space="preserve">0 </w:t>
      </w:r>
      <w:r w:rsidR="00EF504C" w:rsidRPr="00EF504C">
        <w:rPr>
          <w:rFonts w:asciiTheme="minorHAnsi" w:hAnsiTheme="minorHAnsi" w:cstheme="minorHAnsi"/>
        </w:rPr>
        <w:t xml:space="preserve">eura dok rashodi poslovanja iznose </w:t>
      </w:r>
      <w:r w:rsidR="00454742" w:rsidRPr="00454742">
        <w:rPr>
          <w:rFonts w:asciiTheme="minorHAnsi" w:hAnsiTheme="minorHAnsi" w:cstheme="minorHAnsi"/>
        </w:rPr>
        <w:t>680</w:t>
      </w:r>
      <w:r w:rsidR="00454742">
        <w:rPr>
          <w:rFonts w:asciiTheme="minorHAnsi" w:hAnsiTheme="minorHAnsi" w:cstheme="minorHAnsi"/>
        </w:rPr>
        <w:t>.</w:t>
      </w:r>
      <w:r w:rsidR="00454742" w:rsidRPr="00454742">
        <w:rPr>
          <w:rFonts w:asciiTheme="minorHAnsi" w:hAnsiTheme="minorHAnsi" w:cstheme="minorHAnsi"/>
        </w:rPr>
        <w:t>775,57</w:t>
      </w:r>
      <w:r w:rsidR="00243258">
        <w:rPr>
          <w:rFonts w:asciiTheme="minorHAnsi" w:hAnsiTheme="minorHAnsi" w:cstheme="minorHAnsi"/>
        </w:rPr>
        <w:t xml:space="preserve"> </w:t>
      </w:r>
      <w:r w:rsidR="00EF504C" w:rsidRPr="00EF504C">
        <w:rPr>
          <w:rFonts w:asciiTheme="minorHAnsi" w:hAnsiTheme="minorHAnsi" w:cstheme="minorHAnsi"/>
        </w:rPr>
        <w:t xml:space="preserve">eura, dok rashodi za nabavu nefinancijske imovine iznose </w:t>
      </w:r>
      <w:r w:rsidR="00454742" w:rsidRPr="00454742">
        <w:rPr>
          <w:rFonts w:asciiTheme="minorHAnsi" w:hAnsiTheme="minorHAnsi" w:cstheme="minorHAnsi"/>
        </w:rPr>
        <w:t>117</w:t>
      </w:r>
      <w:r w:rsidR="00454742">
        <w:rPr>
          <w:rFonts w:asciiTheme="minorHAnsi" w:hAnsiTheme="minorHAnsi" w:cstheme="minorHAnsi"/>
        </w:rPr>
        <w:t>.</w:t>
      </w:r>
      <w:r w:rsidR="00454742" w:rsidRPr="00454742">
        <w:rPr>
          <w:rFonts w:asciiTheme="minorHAnsi" w:hAnsiTheme="minorHAnsi" w:cstheme="minorHAnsi"/>
        </w:rPr>
        <w:t>086,62</w:t>
      </w:r>
      <w:r w:rsidR="00454742">
        <w:rPr>
          <w:rFonts w:asciiTheme="minorHAnsi" w:hAnsiTheme="minorHAnsi" w:cstheme="minorHAnsi"/>
        </w:rPr>
        <w:t xml:space="preserve"> </w:t>
      </w:r>
      <w:r w:rsidR="00EF504C" w:rsidRPr="00EF504C">
        <w:rPr>
          <w:rFonts w:asciiTheme="minorHAnsi" w:hAnsiTheme="minorHAnsi" w:cstheme="minorHAnsi"/>
        </w:rPr>
        <w:t>eura.</w:t>
      </w:r>
    </w:p>
    <w:p w14:paraId="1822E59C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BE048F5" w14:textId="376CBB77" w:rsidR="00EF504C" w:rsidRPr="00EF504C" w:rsidRDefault="004A572A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Novost kod prihoda su </w:t>
      </w:r>
      <w:r w:rsidRPr="004A572A">
        <w:rPr>
          <w:rFonts w:asciiTheme="minorHAnsi" w:hAnsiTheme="minorHAnsi" w:cstheme="minorHAnsi"/>
          <w:color w:val="000000" w:themeColor="text1"/>
        </w:rPr>
        <w:t>Kapitalne pomoći iz državnog proračuna temeljem prijenosa EU sredstava</w:t>
      </w:r>
      <w:r>
        <w:rPr>
          <w:rFonts w:asciiTheme="minorHAnsi" w:hAnsiTheme="minorHAnsi" w:cstheme="minorHAnsi"/>
          <w:color w:val="000000" w:themeColor="text1"/>
        </w:rPr>
        <w:t xml:space="preserve"> na kojima je evidentiran iznos od </w:t>
      </w:r>
      <w:r w:rsidRPr="004A572A">
        <w:rPr>
          <w:rFonts w:asciiTheme="minorHAnsi" w:hAnsiTheme="minorHAnsi" w:cstheme="minorHAnsi"/>
          <w:color w:val="000000" w:themeColor="text1"/>
        </w:rPr>
        <w:t>40</w:t>
      </w:r>
      <w:r>
        <w:rPr>
          <w:rFonts w:asciiTheme="minorHAnsi" w:hAnsiTheme="minorHAnsi" w:cstheme="minorHAnsi"/>
          <w:color w:val="000000" w:themeColor="text1"/>
        </w:rPr>
        <w:t>.</w:t>
      </w:r>
      <w:r w:rsidRPr="004A572A">
        <w:rPr>
          <w:rFonts w:asciiTheme="minorHAnsi" w:hAnsiTheme="minorHAnsi" w:cstheme="minorHAnsi"/>
          <w:color w:val="000000" w:themeColor="text1"/>
        </w:rPr>
        <w:t>449,01</w:t>
      </w:r>
      <w:r>
        <w:rPr>
          <w:rFonts w:asciiTheme="minorHAnsi" w:hAnsiTheme="minorHAnsi" w:cstheme="minorHAnsi"/>
          <w:color w:val="000000" w:themeColor="text1"/>
        </w:rPr>
        <w:t xml:space="preserve"> eura koji se odnosi na realizaciju energetske obnove zgrade Kazališta, čiji će proces započeti u rujnu 2024. godine.</w:t>
      </w:r>
    </w:p>
    <w:p w14:paraId="341266CA" w14:textId="77777777" w:rsidR="004A572A" w:rsidRDefault="004A572A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65BABBA" w14:textId="16315F26" w:rsidR="00EF504C" w:rsidRDefault="00EF504C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EF504C">
        <w:rPr>
          <w:rFonts w:asciiTheme="minorHAnsi" w:hAnsiTheme="minorHAnsi" w:cstheme="minorHAnsi"/>
          <w:color w:val="000000" w:themeColor="text1"/>
        </w:rPr>
        <w:t>Ostali nespomenuti prihodi u koji su uključeni prihodi od prodaje ulaznica gostujućih i vlastith izvedbi u kazalištu, te gostovanja ansambla HNK u Šibeniku, porasli su u odnosu na prethodnu godinu</w:t>
      </w:r>
      <w:r w:rsidR="004A572A">
        <w:rPr>
          <w:rFonts w:asciiTheme="minorHAnsi" w:hAnsiTheme="minorHAnsi" w:cstheme="minorHAnsi"/>
          <w:color w:val="000000" w:themeColor="text1"/>
        </w:rPr>
        <w:t xml:space="preserve"> </w:t>
      </w:r>
      <w:r w:rsidRPr="00EF504C">
        <w:rPr>
          <w:rFonts w:asciiTheme="minorHAnsi" w:hAnsiTheme="minorHAnsi" w:cstheme="minorHAnsi"/>
          <w:color w:val="000000" w:themeColor="text1"/>
        </w:rPr>
        <w:t>zbog znatnog povećanja prodaje ulaznica u kazališnoj sezoni</w:t>
      </w:r>
      <w:r w:rsidR="004A572A">
        <w:rPr>
          <w:rFonts w:asciiTheme="minorHAnsi" w:hAnsiTheme="minorHAnsi" w:cstheme="minorHAnsi"/>
          <w:color w:val="000000" w:themeColor="text1"/>
        </w:rPr>
        <w:t>, a isto tako tijekom 64. Međunarodnog dječjeg festivala.</w:t>
      </w:r>
      <w:r w:rsidR="00362E46">
        <w:rPr>
          <w:rFonts w:asciiTheme="minorHAnsi" w:hAnsiTheme="minorHAnsi" w:cstheme="minorHAnsi"/>
          <w:color w:val="000000" w:themeColor="text1"/>
        </w:rPr>
        <w:t xml:space="preserve"> Evidentirani su prihodi na razredima 94 i 93 Višak prihoda iz prethodne godine koji su iskorišteni za nabavu opreme za daljni razvoj Kazališta.</w:t>
      </w:r>
    </w:p>
    <w:p w14:paraId="751F4C54" w14:textId="77777777" w:rsidR="005F04CC" w:rsidRDefault="005F04CC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93080F0" w14:textId="77777777" w:rsidR="00DD78B2" w:rsidRDefault="00A455D9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Značajnije povećanje ostvarenja je vidljivo na materijalnim rashodima s obzirom na povećanje bruto osnovice za plaće od 20.5% temeljem Odluke Grada Šibenika, a isto tako poradi  većeg ostvarenja rashoda  za stručno usavršavanje zaposlenika. </w:t>
      </w:r>
      <w:r w:rsidR="005F04CC">
        <w:rPr>
          <w:rFonts w:asciiTheme="minorHAnsi" w:hAnsiTheme="minorHAnsi" w:cstheme="minorHAnsi"/>
          <w:color w:val="000000" w:themeColor="text1"/>
        </w:rPr>
        <w:t>Ulaganjem u kazališne programe</w:t>
      </w:r>
      <w:r w:rsidR="00DD78B2">
        <w:rPr>
          <w:rFonts w:asciiTheme="minorHAnsi" w:hAnsiTheme="minorHAnsi" w:cstheme="minorHAnsi"/>
          <w:color w:val="000000" w:themeColor="text1"/>
        </w:rPr>
        <w:t xml:space="preserve">, poglavito </w:t>
      </w:r>
      <w:r w:rsidR="005F04CC">
        <w:rPr>
          <w:rFonts w:asciiTheme="minorHAnsi" w:hAnsiTheme="minorHAnsi" w:cstheme="minorHAnsi"/>
          <w:color w:val="000000" w:themeColor="text1"/>
        </w:rPr>
        <w:t>vlastit</w:t>
      </w:r>
      <w:r w:rsidR="00DD78B2">
        <w:rPr>
          <w:rFonts w:asciiTheme="minorHAnsi" w:hAnsiTheme="minorHAnsi" w:cstheme="minorHAnsi"/>
          <w:color w:val="000000" w:themeColor="text1"/>
        </w:rPr>
        <w:t>e</w:t>
      </w:r>
      <w:r w:rsidR="005F04CC">
        <w:rPr>
          <w:rFonts w:asciiTheme="minorHAnsi" w:hAnsiTheme="minorHAnsi" w:cstheme="minorHAnsi"/>
          <w:color w:val="000000" w:themeColor="text1"/>
        </w:rPr>
        <w:t xml:space="preserve"> produkcij</w:t>
      </w:r>
      <w:r w:rsidR="00DD78B2">
        <w:rPr>
          <w:rFonts w:asciiTheme="minorHAnsi" w:hAnsiTheme="minorHAnsi" w:cstheme="minorHAnsi"/>
          <w:color w:val="000000" w:themeColor="text1"/>
        </w:rPr>
        <w:t>e</w:t>
      </w:r>
      <w:r w:rsidR="005F04CC">
        <w:rPr>
          <w:rFonts w:asciiTheme="minorHAnsi" w:hAnsiTheme="minorHAnsi" w:cstheme="minorHAnsi"/>
          <w:color w:val="000000" w:themeColor="text1"/>
        </w:rPr>
        <w:t xml:space="preserve">, rezultiralo je  većim ostvarenjem na </w:t>
      </w:r>
      <w:r w:rsidR="008E2B13">
        <w:rPr>
          <w:rFonts w:asciiTheme="minorHAnsi" w:hAnsiTheme="minorHAnsi" w:cstheme="minorHAnsi"/>
          <w:color w:val="000000" w:themeColor="text1"/>
        </w:rPr>
        <w:t xml:space="preserve"> </w:t>
      </w:r>
      <w:r w:rsidR="00DD78B2">
        <w:rPr>
          <w:rFonts w:asciiTheme="minorHAnsi" w:hAnsiTheme="minorHAnsi" w:cstheme="minorHAnsi"/>
          <w:color w:val="000000" w:themeColor="text1"/>
        </w:rPr>
        <w:t>rashodima za materijal  i energiju koji uključuje izradu scenografije za iste.</w:t>
      </w:r>
    </w:p>
    <w:p w14:paraId="2095E045" w14:textId="435D3113" w:rsidR="00DD78B2" w:rsidRDefault="00DD78B2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2CADD108" w14:textId="3EB0D2DB" w:rsidR="00A455D9" w:rsidRDefault="00DD78B2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Vidljivo je znatnije ostvarenje na rashodima za usluge s obzirom na ulaganje u daljnji razvoj i promidžbu Međunarodnog dječjeg festivala.</w:t>
      </w:r>
    </w:p>
    <w:p w14:paraId="2460BD4E" w14:textId="77777777" w:rsidR="00DD78B2" w:rsidRDefault="00DD78B2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151F80B9" w14:textId="4478BA37" w:rsidR="00DD78B2" w:rsidRPr="00EF504C" w:rsidRDefault="00DD78B2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Odlukom o raspodjeli rezultata iz 2023. godine ostvareni </w:t>
      </w:r>
      <w:r w:rsidR="00243258">
        <w:rPr>
          <w:rFonts w:asciiTheme="minorHAnsi" w:hAnsiTheme="minorHAnsi" w:cstheme="minorHAnsi"/>
          <w:color w:val="000000" w:themeColor="text1"/>
        </w:rPr>
        <w:t xml:space="preserve">prihodi </w:t>
      </w:r>
      <w:r>
        <w:rPr>
          <w:rFonts w:asciiTheme="minorHAnsi" w:hAnsiTheme="minorHAnsi" w:cstheme="minorHAnsi"/>
          <w:color w:val="000000" w:themeColor="text1"/>
        </w:rPr>
        <w:t xml:space="preserve">korišteni su za nabavu dugotrajne imovine koja </w:t>
      </w:r>
      <w:r w:rsidR="00243258">
        <w:rPr>
          <w:rFonts w:asciiTheme="minorHAnsi" w:hAnsiTheme="minorHAnsi" w:cstheme="minorHAnsi"/>
          <w:color w:val="000000" w:themeColor="text1"/>
        </w:rPr>
        <w:t>je posljedično rezultirala povećanim ostvarenjem na rashodima za nabavu dugotrajne imovine.</w:t>
      </w:r>
    </w:p>
    <w:p w14:paraId="35D7FEC6" w14:textId="77777777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A18D9DB" w14:textId="77777777" w:rsidR="00B05C67" w:rsidRDefault="00B05C67" w:rsidP="00C6118B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C39488C" w14:textId="6BADEF35" w:rsidR="00EF504C" w:rsidRPr="00EF504C" w:rsidRDefault="00EF504C" w:rsidP="00C6118B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CA111AE" w14:textId="77777777" w:rsidR="00EF504C" w:rsidRP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0210B399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2608B28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65B8A16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28AF70A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1CD7C79C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4352EEBD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BA6CEBC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3E4F97DC" w14:textId="77777777" w:rsid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28B15FC3" w14:textId="77777777" w:rsidR="00A455D9" w:rsidRDefault="00A455D9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7E0696F3" w14:textId="77777777" w:rsidR="00A455D9" w:rsidRDefault="00A455D9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p w14:paraId="5A300C7D" w14:textId="79E8AE84" w:rsidR="00EF504C" w:rsidRPr="00C6118B" w:rsidRDefault="00C6118B" w:rsidP="00C6118B">
      <w:pPr>
        <w:jc w:val="both"/>
        <w:rPr>
          <w:rFonts w:asciiTheme="minorHAnsi" w:hAnsiTheme="minorHAnsi" w:cstheme="minorHAnsi"/>
          <w:b/>
          <w:bCs/>
          <w:color w:val="000000" w:themeColor="text1"/>
        </w:rPr>
      </w:pPr>
      <w:r w:rsidRPr="00C6118B">
        <w:rPr>
          <w:rFonts w:asciiTheme="minorHAnsi" w:hAnsiTheme="minorHAnsi" w:cstheme="minorHAnsi"/>
          <w:b/>
          <w:bCs/>
          <w:color w:val="000000" w:themeColor="text1"/>
        </w:rPr>
        <w:lastRenderedPageBreak/>
        <w:t>III.</w:t>
      </w:r>
      <w:r w:rsidR="00EF504C" w:rsidRPr="00C6118B">
        <w:rPr>
          <w:rFonts w:asciiTheme="minorHAnsi" w:hAnsiTheme="minorHAnsi" w:cstheme="minorHAnsi"/>
          <w:b/>
          <w:bCs/>
          <w:color w:val="000000" w:themeColor="text1"/>
        </w:rPr>
        <w:t>2. OBRAZLOŽENJE POSEBNOG DIJELA IZVJEŠTAJA O IZVRŠENJU FINANCIJSKOG PLANA HRVATSKOG NARODNOG KAZALIŠTA U ŠIBENIKU</w:t>
      </w:r>
    </w:p>
    <w:p w14:paraId="7F2E6EB4" w14:textId="77777777" w:rsidR="00C6118B" w:rsidRPr="00C6118B" w:rsidRDefault="00C6118B" w:rsidP="00C6118B">
      <w:pPr>
        <w:pStyle w:val="ListParagraph"/>
        <w:ind w:left="1080"/>
        <w:jc w:val="both"/>
        <w:rPr>
          <w:rFonts w:asciiTheme="minorHAnsi" w:hAnsiTheme="minorHAnsi" w:cstheme="minorHAnsi"/>
          <w:color w:val="000000" w:themeColor="text1"/>
        </w:rPr>
      </w:pPr>
    </w:p>
    <w:p w14:paraId="005BEDCF" w14:textId="77777777" w:rsidR="00EF504C" w:rsidRPr="00EF504C" w:rsidRDefault="00EF504C" w:rsidP="00EF504C">
      <w:pPr>
        <w:jc w:val="both"/>
        <w:rPr>
          <w:rFonts w:asciiTheme="minorHAnsi" w:hAnsiTheme="minorHAnsi" w:cstheme="minorHAnsi"/>
          <w:color w:val="000000" w:themeColor="text1"/>
        </w:rPr>
      </w:pPr>
    </w:p>
    <w:tbl>
      <w:tblPr>
        <w:tblStyle w:val="TableGrid"/>
        <w:tblW w:w="9990" w:type="dxa"/>
        <w:tblInd w:w="-214" w:type="dxa"/>
        <w:tblCellMar>
          <w:top w:w="53" w:type="dxa"/>
          <w:left w:w="108" w:type="dxa"/>
          <w:right w:w="54" w:type="dxa"/>
        </w:tblCellMar>
        <w:tblLook w:val="04A0" w:firstRow="1" w:lastRow="0" w:firstColumn="1" w:lastColumn="0" w:noHBand="0" w:noVBand="1"/>
      </w:tblPr>
      <w:tblGrid>
        <w:gridCol w:w="2638"/>
        <w:gridCol w:w="7352"/>
      </w:tblGrid>
      <w:tr w:rsidR="00EF504C" w:rsidRPr="00EF504C" w14:paraId="6D3A3127" w14:textId="77777777" w:rsidTr="001D7481">
        <w:trPr>
          <w:trHeight w:val="302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EBBDE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  <w:color w:val="0000A3"/>
              </w:rPr>
              <w:t>Glava</w:t>
            </w:r>
            <w:r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:   00306-33667 HRVATSKO NARODNO KAZALIŠTE U ŠIBENIKU</w:t>
            </w:r>
          </w:p>
        </w:tc>
      </w:tr>
      <w:tr w:rsidR="00EF504C" w:rsidRPr="00EF504C" w14:paraId="239A7262" w14:textId="77777777" w:rsidTr="001D7481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C96E8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F504C">
              <w:rPr>
                <w:rFonts w:asciiTheme="minorHAnsi" w:hAnsiTheme="minorHAnsi" w:cstheme="minorHAnsi"/>
                <w:b/>
                <w:bCs/>
              </w:rPr>
              <w:t>Planirana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6384C" w14:textId="10F4D1B8" w:rsidR="00EF504C" w:rsidRPr="00EF504C" w:rsidRDefault="00A455D9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3"/>
              </w:rPr>
            </w:pPr>
            <w:r w:rsidRPr="00A455D9">
              <w:rPr>
                <w:rFonts w:asciiTheme="minorHAnsi" w:hAnsiTheme="minorHAnsi" w:cstheme="minorHAnsi"/>
                <w:b/>
                <w:bCs/>
                <w:color w:val="0000A3"/>
              </w:rPr>
              <w:t>1.696.000,00 eura</w:t>
            </w:r>
          </w:p>
        </w:tc>
      </w:tr>
      <w:tr w:rsidR="00EF504C" w:rsidRPr="00EF504C" w14:paraId="5AACD83F" w14:textId="77777777" w:rsidTr="001D7481">
        <w:trPr>
          <w:trHeight w:val="1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2EAF9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F504C">
              <w:rPr>
                <w:rFonts w:asciiTheme="minorHAnsi" w:hAnsiTheme="minorHAnsi" w:cstheme="minorHAnsi"/>
                <w:b/>
                <w:bCs/>
              </w:rPr>
              <w:t>Izvršena sredstva za provedbu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D4D58" w14:textId="5119E612" w:rsidR="00EF504C" w:rsidRPr="00EF504C" w:rsidRDefault="00A455D9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3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>797.862,19</w:t>
            </w:r>
            <w:r w:rsidR="00EF504C" w:rsidRPr="00EF504C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eura</w:t>
            </w:r>
          </w:p>
        </w:tc>
      </w:tr>
      <w:tr w:rsidR="00EF504C" w:rsidRPr="00EF504C" w14:paraId="790B0E78" w14:textId="77777777" w:rsidTr="001D7481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F0DA54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F504C">
              <w:rPr>
                <w:rFonts w:asciiTheme="minorHAnsi" w:hAnsiTheme="minorHAnsi" w:cstheme="minorHAnsi"/>
                <w:b/>
                <w:bCs/>
              </w:rPr>
              <w:t>Pokazatelj rezultata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F4A281" w14:textId="481A23A6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2060"/>
              </w:rPr>
              <w:t>Ostvareno 4</w:t>
            </w:r>
            <w:r w:rsidR="00A455D9">
              <w:rPr>
                <w:rFonts w:asciiTheme="minorHAnsi" w:hAnsiTheme="minorHAnsi" w:cstheme="minorHAnsi"/>
                <w:b/>
                <w:bCs/>
                <w:color w:val="002060"/>
              </w:rPr>
              <w:t>7,04</w:t>
            </w:r>
            <w:r w:rsidRPr="00EF504C">
              <w:rPr>
                <w:rFonts w:asciiTheme="minorHAnsi" w:hAnsiTheme="minorHAnsi" w:cstheme="minorHAnsi"/>
                <w:b/>
                <w:bCs/>
                <w:color w:val="002060"/>
              </w:rPr>
              <w:t xml:space="preserve"> % programa</w:t>
            </w:r>
          </w:p>
        </w:tc>
      </w:tr>
      <w:tr w:rsidR="00EF504C" w:rsidRPr="00EF504C" w14:paraId="6C840699" w14:textId="77777777" w:rsidTr="001D7481">
        <w:trPr>
          <w:trHeight w:val="3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37091B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651FDC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1"/>
              </w:rPr>
              <w:t>1021 PROGRAMI KULTURE</w:t>
            </w:r>
          </w:p>
        </w:tc>
      </w:tr>
      <w:tr w:rsidR="00EF504C" w:rsidRPr="00EF504C" w14:paraId="765EA4F4" w14:textId="77777777" w:rsidTr="001D7481">
        <w:trPr>
          <w:trHeight w:val="285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E06F5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A3B7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EF504C" w:rsidRPr="00EF504C" w14:paraId="7536DAA1" w14:textId="77777777" w:rsidTr="001D7481">
        <w:trPr>
          <w:trHeight w:val="1143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B200D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>Regulatorni okvir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4C7F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  <w:r w:rsidRPr="00EF504C">
              <w:rPr>
                <w:rFonts w:asciiTheme="minorHAnsi" w:hAnsiTheme="minorHAnsi" w:cstheme="minorHAnsi"/>
                <w:lang w:bidi="hr-HR"/>
              </w:rPr>
              <w:t xml:space="preserve">Odluka o osnivanju kazališta – Hrvatsko narodno kazalište u Šibeniku ("Službeni glasnik Grada Šibenika" br. 5/10., 8/11., 9/13., 4/19., 6/20. i 6/23.)           </w:t>
            </w:r>
          </w:p>
          <w:p w14:paraId="6B385955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</w:p>
          <w:p w14:paraId="6BC810BC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F504C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</w:tc>
      </w:tr>
      <w:tr w:rsidR="00EF504C" w:rsidRPr="00EF504C" w14:paraId="7F666A80" w14:textId="77777777" w:rsidTr="001D7481">
        <w:trPr>
          <w:trHeight w:val="5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E46B3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B36BE" w14:textId="77777777" w:rsidR="00EF504C" w:rsidRPr="00EF504C" w:rsidRDefault="00EF504C" w:rsidP="001D7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1"/>
              </w:rPr>
              <w:t>A102101 Kazališna direkcija</w:t>
            </w:r>
          </w:p>
          <w:p w14:paraId="4E8FD836" w14:textId="77777777" w:rsidR="00EF504C" w:rsidRPr="00EF504C" w:rsidRDefault="00EF504C" w:rsidP="001D7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504C" w:rsidRPr="00EF504C" w14:paraId="154A4189" w14:textId="77777777" w:rsidTr="001D7481">
        <w:trPr>
          <w:trHeight w:val="57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BD5E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D8534" w14:textId="77777777" w:rsidR="00EF504C" w:rsidRPr="00EF504C" w:rsidRDefault="00EF504C" w:rsidP="001D7481">
            <w:pPr>
              <w:pStyle w:val="BodyText"/>
              <w:spacing w:before="1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04C">
              <w:rPr>
                <w:rFonts w:asciiTheme="minorHAnsi" w:hAnsiTheme="minorHAnsi" w:cstheme="minorHAnsi"/>
                <w:sz w:val="22"/>
                <w:szCs w:val="22"/>
              </w:rPr>
              <w:t>Opći cilj:        Promicanje kulture na području grada</w:t>
            </w:r>
          </w:p>
          <w:p w14:paraId="6B2C15B9" w14:textId="77777777" w:rsidR="00EF504C" w:rsidRPr="00EF504C" w:rsidRDefault="00EF504C" w:rsidP="001D7481">
            <w:pPr>
              <w:pStyle w:val="BodyText"/>
              <w:spacing w:before="43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04C">
              <w:rPr>
                <w:rFonts w:asciiTheme="minorHAnsi" w:hAnsiTheme="minorHAnsi" w:cstheme="minorHAnsi"/>
                <w:sz w:val="22"/>
                <w:szCs w:val="22"/>
              </w:rPr>
              <w:t>Poseban cilj: Pravodobno i kvalitetno organiziranje kulturnih događanja</w:t>
            </w:r>
          </w:p>
        </w:tc>
      </w:tr>
      <w:tr w:rsidR="00EF504C" w:rsidRPr="00EF504C" w14:paraId="6F1C6E38" w14:textId="77777777" w:rsidTr="001D7481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0EAD3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D9A7C" w14:textId="5C1FE9BF" w:rsidR="00EF504C" w:rsidRPr="00EF504C" w:rsidRDefault="00AF39EA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1.190.000,00 </w:t>
            </w:r>
            <w:r w:rsidR="00EF504C"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EF504C" w:rsidRPr="00EF504C" w14:paraId="65DE85E3" w14:textId="77777777" w:rsidTr="001D7481">
        <w:trPr>
          <w:trHeight w:val="59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D5F31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B696" w14:textId="7E9C39FE" w:rsidR="00EF504C" w:rsidRPr="00EF504C" w:rsidRDefault="00AF39EA" w:rsidP="001D7481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557.407,86 </w:t>
            </w:r>
            <w:r w:rsidR="00EF504C"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EF504C" w:rsidRPr="00EF504C" w14:paraId="31B4A42F" w14:textId="77777777" w:rsidTr="001D7481">
        <w:trPr>
          <w:trHeight w:val="3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336CC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A0813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>Organizirani događaji vanjskih korisnika u zgradi HNK u Šibeniku, tehnička ispomoć na raznim događanjima, održane dramske radionice i studio te probe Zbora Zdravo maleni.</w:t>
            </w:r>
          </w:p>
        </w:tc>
      </w:tr>
      <w:tr w:rsidR="00EF504C" w:rsidRPr="00EF504C" w14:paraId="70671D04" w14:textId="77777777" w:rsidTr="001D7481">
        <w:trPr>
          <w:trHeight w:val="107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B6C79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D5026" w14:textId="084E0996" w:rsidR="00EF504C" w:rsidRPr="00EF504C" w:rsidRDefault="00EF504C" w:rsidP="001D7481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F504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Indeks ostvarenja programa iznosi 4</w:t>
            </w:r>
            <w:r w:rsidR="00AF39E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6,84</w:t>
            </w:r>
            <w:r w:rsidRPr="00EF504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%. </w:t>
            </w:r>
          </w:p>
          <w:p w14:paraId="680894C0" w14:textId="77777777" w:rsidR="00EF504C" w:rsidRPr="00EF504C" w:rsidRDefault="00EF504C" w:rsidP="001D7481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2C3F6683" w14:textId="61713DD5" w:rsidR="00EF504C" w:rsidRPr="00EF504C" w:rsidRDefault="00EF504C" w:rsidP="001D7481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 xml:space="preserve">Ukupno je HNK u Šibeniku odradio </w:t>
            </w:r>
            <w:r w:rsidR="00826895">
              <w:rPr>
                <w:rFonts w:asciiTheme="minorHAnsi" w:hAnsiTheme="minorHAnsi" w:cstheme="minorHAnsi"/>
              </w:rPr>
              <w:t>3</w:t>
            </w:r>
            <w:r w:rsidR="00243258">
              <w:rPr>
                <w:rFonts w:asciiTheme="minorHAnsi" w:hAnsiTheme="minorHAnsi" w:cstheme="minorHAnsi"/>
              </w:rPr>
              <w:t>65</w:t>
            </w:r>
            <w:r w:rsidRPr="00EF504C">
              <w:rPr>
                <w:rFonts w:asciiTheme="minorHAnsi" w:hAnsiTheme="minorHAnsi" w:cstheme="minorHAnsi"/>
              </w:rPr>
              <w:t xml:space="preserve"> termina u prvom polugodištu 202</w:t>
            </w:r>
            <w:r w:rsidR="00AF39EA">
              <w:rPr>
                <w:rFonts w:asciiTheme="minorHAnsi" w:hAnsiTheme="minorHAnsi" w:cstheme="minorHAnsi"/>
              </w:rPr>
              <w:t>4</w:t>
            </w:r>
            <w:r w:rsidRPr="00EF504C">
              <w:rPr>
                <w:rFonts w:asciiTheme="minorHAnsi" w:hAnsiTheme="minorHAnsi" w:cstheme="minorHAnsi"/>
              </w:rPr>
              <w:t xml:space="preserve">. godine u sklopu rada Kazališta.  </w:t>
            </w:r>
          </w:p>
          <w:p w14:paraId="174C847D" w14:textId="77777777" w:rsidR="00EF504C" w:rsidRPr="00EF504C" w:rsidRDefault="00EF504C" w:rsidP="001D7481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6D835B2A" w14:textId="232B4A1A" w:rsidR="00EF504C" w:rsidRPr="00EF504C" w:rsidRDefault="00EF504C" w:rsidP="001D7481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F504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HNK je do 30. lipnja 202</w:t>
            </w:r>
            <w:r w:rsidR="00AF39EA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4</w:t>
            </w:r>
            <w:r w:rsidRPr="00EF504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. godine organizirao </w:t>
            </w:r>
            <w:r w:rsidR="00B1003F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35</w:t>
            </w:r>
            <w:r w:rsidRPr="00EF504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događaja vanjskih korisnika u zgradi kazališta te</w:t>
            </w:r>
            <w:r w:rsidR="00D74277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</w:t>
            </w:r>
            <w:r w:rsidR="00826895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>2</w:t>
            </w:r>
            <w:r w:rsidRPr="00EF504C"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  <w:t xml:space="preserve"> puta pružio tehničku ispomoć na raznim događanjima.</w:t>
            </w:r>
          </w:p>
          <w:p w14:paraId="634D5D75" w14:textId="77777777" w:rsidR="00EF504C" w:rsidRPr="00EF504C" w:rsidRDefault="00EF504C" w:rsidP="001D7481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</w:p>
          <w:p w14:paraId="2A072D71" w14:textId="6D474135" w:rsidR="00EF504C" w:rsidRPr="00EF504C" w:rsidRDefault="00EF504C" w:rsidP="001D7481">
            <w:pPr>
              <w:spacing w:line="276" w:lineRule="auto"/>
              <w:ind w:right="52"/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EF504C">
              <w:rPr>
                <w:rFonts w:asciiTheme="minorHAnsi" w:hAnsiTheme="minorHAnsi" w:cstheme="minorHAnsi"/>
              </w:rPr>
              <w:t>U prvom polugodištu 202</w:t>
            </w:r>
            <w:r w:rsidR="00AF39EA">
              <w:rPr>
                <w:rFonts w:asciiTheme="minorHAnsi" w:hAnsiTheme="minorHAnsi" w:cstheme="minorHAnsi"/>
              </w:rPr>
              <w:t>4</w:t>
            </w:r>
            <w:r w:rsidRPr="00EF504C">
              <w:rPr>
                <w:rFonts w:asciiTheme="minorHAnsi" w:hAnsiTheme="minorHAnsi" w:cstheme="minorHAnsi"/>
              </w:rPr>
              <w:t>. godine HNK u Šibeniku dramski studio „Ivana Jelić“, dramska radionica i zbor imali su 1</w:t>
            </w:r>
            <w:r w:rsidR="00D74277">
              <w:rPr>
                <w:rFonts w:asciiTheme="minorHAnsi" w:hAnsiTheme="minorHAnsi" w:cstheme="minorHAnsi"/>
              </w:rPr>
              <w:t>63</w:t>
            </w:r>
            <w:r w:rsidRPr="00EF504C">
              <w:rPr>
                <w:rFonts w:asciiTheme="minorHAnsi" w:hAnsiTheme="minorHAnsi" w:cstheme="minorHAnsi"/>
              </w:rPr>
              <w:t xml:space="preserve"> termina proba.</w:t>
            </w:r>
          </w:p>
        </w:tc>
      </w:tr>
      <w:tr w:rsidR="00EF504C" w:rsidRPr="00EF504C" w14:paraId="633987BE" w14:textId="77777777" w:rsidTr="001D7481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D121E8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lastRenderedPageBreak/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0E9A11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1"/>
              </w:rPr>
              <w:t>1022 KAZALIŠNI PROGRAMI</w:t>
            </w:r>
          </w:p>
        </w:tc>
      </w:tr>
      <w:tr w:rsidR="00EF504C" w:rsidRPr="00EF504C" w14:paraId="033EA4D8" w14:textId="77777777" w:rsidTr="001D7481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970BF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185E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EF504C" w:rsidRPr="00EF504C" w14:paraId="20A61A08" w14:textId="77777777" w:rsidTr="001D7481">
        <w:trPr>
          <w:trHeight w:val="586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6AC04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DC1D" w14:textId="77777777" w:rsidR="00EF504C" w:rsidRPr="00EF504C" w:rsidRDefault="00EF504C" w:rsidP="001D7481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</w:tc>
      </w:tr>
      <w:tr w:rsidR="00EF504C" w:rsidRPr="00EF504C" w14:paraId="33896B4F" w14:textId="77777777" w:rsidTr="001D7481">
        <w:trPr>
          <w:trHeight w:val="640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1620D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B4898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1"/>
              </w:rPr>
              <w:t>A102201 Kazališni programi</w:t>
            </w:r>
          </w:p>
          <w:p w14:paraId="0AFCA7B8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1"/>
              </w:rPr>
              <w:t>A102202 Programi dramskih gostovanja</w:t>
            </w:r>
          </w:p>
          <w:p w14:paraId="19BAEFAC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504C" w:rsidRPr="00EF504C" w14:paraId="36F8B5DB" w14:textId="77777777" w:rsidTr="001D7481">
        <w:trPr>
          <w:trHeight w:val="877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76AA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31DBD" w14:textId="77777777" w:rsidR="00EF504C" w:rsidRPr="00EF504C" w:rsidRDefault="00EF504C" w:rsidP="001D7481">
            <w:pPr>
              <w:pStyle w:val="BodyText"/>
              <w:spacing w:before="36"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04C">
              <w:rPr>
                <w:rFonts w:asciiTheme="minorHAnsi" w:hAnsiTheme="minorHAnsi" w:cstheme="minorHAnsi"/>
                <w:sz w:val="22"/>
                <w:szCs w:val="22"/>
              </w:rPr>
              <w:t>Opći cilj: Organizacija kazališne sezone</w:t>
            </w:r>
          </w:p>
          <w:p w14:paraId="4A78CE86" w14:textId="77777777" w:rsidR="00EF504C" w:rsidRPr="00EF504C" w:rsidRDefault="00EF504C" w:rsidP="001D7481">
            <w:pPr>
              <w:pStyle w:val="BodyText"/>
              <w:spacing w:before="44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04C">
              <w:rPr>
                <w:rFonts w:asciiTheme="minorHAnsi" w:hAnsiTheme="minorHAnsi" w:cstheme="minorHAnsi"/>
                <w:sz w:val="22"/>
                <w:szCs w:val="22"/>
              </w:rPr>
              <w:t>Poseban cilj: Produkcija vlastitih premijernih naslova, gostovanja vlastite produkcije, gostovanja drugih kazališnih produkcija</w:t>
            </w:r>
          </w:p>
          <w:p w14:paraId="1797D5FB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504C" w:rsidRPr="00EF504C" w14:paraId="46D14755" w14:textId="77777777" w:rsidTr="001D7481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56AD2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FF972" w14:textId="6076CC2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1</w:t>
            </w:r>
            <w:r w:rsidR="00D74277">
              <w:rPr>
                <w:rFonts w:asciiTheme="minorHAnsi" w:hAnsiTheme="minorHAnsi" w:cstheme="minorHAnsi"/>
                <w:b/>
                <w:bCs/>
                <w:color w:val="0000A3"/>
              </w:rPr>
              <w:t>67.0</w:t>
            </w:r>
            <w:r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00,00 eura</w:t>
            </w:r>
          </w:p>
        </w:tc>
      </w:tr>
      <w:tr w:rsidR="00EF504C" w:rsidRPr="00EF504C" w14:paraId="03190A9B" w14:textId="77777777" w:rsidTr="001D7481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A5534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71D" w14:textId="098D7D28" w:rsidR="00EF504C" w:rsidRPr="00EF504C" w:rsidRDefault="00D74277" w:rsidP="001D7481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>129.997,56</w:t>
            </w:r>
            <w:r w:rsidR="00EF504C" w:rsidRPr="00EF504C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eura</w:t>
            </w:r>
          </w:p>
        </w:tc>
      </w:tr>
      <w:tr w:rsidR="00EF504C" w:rsidRPr="00EF504C" w14:paraId="0435FE0E" w14:textId="77777777" w:rsidTr="001D7481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89254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29F4C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F504C">
              <w:rPr>
                <w:rFonts w:asciiTheme="minorHAnsi" w:hAnsiTheme="minorHAnsi" w:cstheme="minorHAnsi"/>
                <w:color w:val="000000" w:themeColor="text1"/>
              </w:rPr>
              <w:t>Broj premijernih produkcija, izvedbi i prodanih ulaznica, organiziranih grupnih posjeta</w:t>
            </w:r>
          </w:p>
        </w:tc>
      </w:tr>
      <w:tr w:rsidR="00EF504C" w:rsidRPr="00EF504C" w14:paraId="0D528032" w14:textId="77777777" w:rsidTr="001D7481">
        <w:trPr>
          <w:trHeight w:val="118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01197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91AA" w14:textId="2B5F22F8" w:rsidR="00EF504C" w:rsidRPr="00EF504C" w:rsidRDefault="00EF504C" w:rsidP="001D7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 xml:space="preserve">Indeks izvršenja programa iznosi </w:t>
            </w:r>
            <w:r w:rsidR="00D74277">
              <w:rPr>
                <w:rFonts w:asciiTheme="minorHAnsi" w:hAnsiTheme="minorHAnsi" w:cstheme="minorHAnsi"/>
              </w:rPr>
              <w:t>77.84</w:t>
            </w:r>
            <w:r w:rsidRPr="00EF504C">
              <w:rPr>
                <w:rFonts w:asciiTheme="minorHAnsi" w:hAnsiTheme="minorHAnsi" w:cstheme="minorHAnsi"/>
              </w:rPr>
              <w:t>%.</w:t>
            </w:r>
          </w:p>
          <w:p w14:paraId="74D40F5B" w14:textId="3A8FEF2A" w:rsidR="00EF504C" w:rsidRPr="00EF504C" w:rsidRDefault="00EF504C" w:rsidP="001D7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 xml:space="preserve">Ukupno je HNK u Šibeniku odradio </w:t>
            </w:r>
            <w:r w:rsidR="00826895">
              <w:rPr>
                <w:rFonts w:asciiTheme="minorHAnsi" w:hAnsiTheme="minorHAnsi" w:cstheme="minorHAnsi"/>
              </w:rPr>
              <w:t>12</w:t>
            </w:r>
            <w:r w:rsidR="00243258">
              <w:rPr>
                <w:rFonts w:asciiTheme="minorHAnsi" w:hAnsiTheme="minorHAnsi" w:cstheme="minorHAnsi"/>
              </w:rPr>
              <w:t>5</w:t>
            </w:r>
            <w:r w:rsidR="00D74277">
              <w:rPr>
                <w:rFonts w:asciiTheme="minorHAnsi" w:hAnsiTheme="minorHAnsi" w:cstheme="minorHAnsi"/>
              </w:rPr>
              <w:t xml:space="preserve"> programa</w:t>
            </w:r>
            <w:r w:rsidRPr="00EF504C">
              <w:rPr>
                <w:rFonts w:asciiTheme="minorHAnsi" w:hAnsiTheme="minorHAnsi" w:cstheme="minorHAnsi"/>
              </w:rPr>
              <w:t xml:space="preserve"> u prvom polugodištu 202</w:t>
            </w:r>
            <w:r w:rsidR="00D74277">
              <w:rPr>
                <w:rFonts w:asciiTheme="minorHAnsi" w:hAnsiTheme="minorHAnsi" w:cstheme="minorHAnsi"/>
              </w:rPr>
              <w:t>4</w:t>
            </w:r>
            <w:r w:rsidRPr="00EF504C">
              <w:rPr>
                <w:rFonts w:asciiTheme="minorHAnsi" w:hAnsiTheme="minorHAnsi" w:cstheme="minorHAnsi"/>
              </w:rPr>
              <w:t>. godine u sklopu rada Kazališta.  U prvom polugodištu 202</w:t>
            </w:r>
            <w:r w:rsidR="00D74277">
              <w:rPr>
                <w:rFonts w:asciiTheme="minorHAnsi" w:hAnsiTheme="minorHAnsi" w:cstheme="minorHAnsi"/>
              </w:rPr>
              <w:t>4</w:t>
            </w:r>
            <w:r w:rsidRPr="00EF504C">
              <w:rPr>
                <w:rFonts w:asciiTheme="minorHAnsi" w:hAnsiTheme="minorHAnsi" w:cstheme="minorHAnsi"/>
              </w:rPr>
              <w:t>. godine u Kazalištu je prodano</w:t>
            </w:r>
            <w:r w:rsidR="00D74277">
              <w:rPr>
                <w:rFonts w:asciiTheme="minorHAnsi" w:hAnsiTheme="minorHAnsi" w:cstheme="minorHAnsi"/>
              </w:rPr>
              <w:t xml:space="preserve"> </w:t>
            </w:r>
            <w:r w:rsidR="00860449">
              <w:rPr>
                <w:rFonts w:asciiTheme="minorHAnsi" w:hAnsiTheme="minorHAnsi" w:cstheme="minorHAnsi"/>
              </w:rPr>
              <w:t>8.018</w:t>
            </w:r>
            <w:r w:rsidRPr="00EF504C">
              <w:rPr>
                <w:rFonts w:asciiTheme="minorHAnsi" w:hAnsiTheme="minorHAnsi" w:cstheme="minorHAnsi"/>
              </w:rPr>
              <w:t xml:space="preserve"> ulaznica te je na svim programima u vlastitoj organizaciji bilo </w:t>
            </w:r>
            <w:r w:rsidR="00860449">
              <w:rPr>
                <w:rFonts w:asciiTheme="minorHAnsi" w:hAnsiTheme="minorHAnsi" w:cstheme="minorHAnsi"/>
              </w:rPr>
              <w:t>9.630</w:t>
            </w:r>
            <w:r w:rsidRPr="00EF504C">
              <w:rPr>
                <w:rFonts w:asciiTheme="minorHAnsi" w:hAnsiTheme="minorHAnsi" w:cstheme="minorHAnsi"/>
              </w:rPr>
              <w:t xml:space="preserve"> posjetitelja. Ukupno je kroz HNK u Šibeniku kroz različite programe u prvom polugodištu 202</w:t>
            </w:r>
            <w:r w:rsidR="00D74277">
              <w:rPr>
                <w:rFonts w:asciiTheme="minorHAnsi" w:hAnsiTheme="minorHAnsi" w:cstheme="minorHAnsi"/>
              </w:rPr>
              <w:t>4</w:t>
            </w:r>
            <w:r w:rsidRPr="00EF504C">
              <w:rPr>
                <w:rFonts w:asciiTheme="minorHAnsi" w:hAnsiTheme="minorHAnsi" w:cstheme="minorHAnsi"/>
              </w:rPr>
              <w:t>. godine bilo</w:t>
            </w:r>
            <w:r w:rsidR="00860449">
              <w:rPr>
                <w:rFonts w:asciiTheme="minorHAnsi" w:hAnsiTheme="minorHAnsi" w:cstheme="minorHAnsi"/>
              </w:rPr>
              <w:t xml:space="preserve"> 17.800</w:t>
            </w:r>
            <w:r w:rsidRPr="00EF504C">
              <w:rPr>
                <w:rFonts w:asciiTheme="minorHAnsi" w:hAnsiTheme="minorHAnsi" w:cstheme="minorHAnsi"/>
              </w:rPr>
              <w:t xml:space="preserve"> posjetitelja.</w:t>
            </w:r>
          </w:p>
          <w:p w14:paraId="065E05C8" w14:textId="0862504B" w:rsidR="00EF504C" w:rsidRPr="00EF504C" w:rsidRDefault="00EF504C" w:rsidP="001D7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>Slobodnu prodaju i pretplatu posjetilo je</w:t>
            </w:r>
            <w:r w:rsidR="00860449">
              <w:rPr>
                <w:rFonts w:asciiTheme="minorHAnsi" w:hAnsiTheme="minorHAnsi" w:cstheme="minorHAnsi"/>
              </w:rPr>
              <w:t xml:space="preserve"> </w:t>
            </w:r>
            <w:r w:rsidR="009B7DDB">
              <w:rPr>
                <w:rFonts w:asciiTheme="minorHAnsi" w:hAnsiTheme="minorHAnsi" w:cstheme="minorHAnsi"/>
              </w:rPr>
              <w:t>9.630</w:t>
            </w:r>
            <w:r w:rsidR="009C7CE0">
              <w:rPr>
                <w:rFonts w:asciiTheme="minorHAnsi" w:hAnsiTheme="minorHAnsi" w:cstheme="minorHAnsi"/>
              </w:rPr>
              <w:t xml:space="preserve"> </w:t>
            </w:r>
            <w:r w:rsidRPr="00EF504C">
              <w:rPr>
                <w:rFonts w:asciiTheme="minorHAnsi" w:hAnsiTheme="minorHAnsi" w:cstheme="minorHAnsi"/>
              </w:rPr>
              <w:t>posjetitelja</w:t>
            </w:r>
            <w:r w:rsidR="009C7CE0">
              <w:rPr>
                <w:rFonts w:asciiTheme="minorHAnsi" w:hAnsiTheme="minorHAnsi" w:cstheme="minorHAnsi"/>
              </w:rPr>
              <w:t>.</w:t>
            </w:r>
            <w:r w:rsidRPr="00EF504C">
              <w:rPr>
                <w:rFonts w:asciiTheme="minorHAnsi" w:hAnsiTheme="minorHAnsi" w:cstheme="minorHAnsi"/>
              </w:rPr>
              <w:t xml:space="preserve"> </w:t>
            </w:r>
          </w:p>
          <w:p w14:paraId="60107689" w14:textId="77777777" w:rsidR="00EF504C" w:rsidRPr="00EF504C" w:rsidRDefault="00EF504C" w:rsidP="001D7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  <w:p w14:paraId="72A05E67" w14:textId="58AA348A" w:rsidR="00EF504C" w:rsidRPr="00EF504C" w:rsidRDefault="00EF504C" w:rsidP="001D7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>HNK u Šibeniku u 202</w:t>
            </w:r>
            <w:r w:rsidR="00D74277">
              <w:rPr>
                <w:rFonts w:asciiTheme="minorHAnsi" w:hAnsiTheme="minorHAnsi" w:cstheme="minorHAnsi"/>
              </w:rPr>
              <w:t>4</w:t>
            </w:r>
            <w:r w:rsidRPr="00EF504C">
              <w:rPr>
                <w:rFonts w:asciiTheme="minorHAnsi" w:hAnsiTheme="minorHAnsi" w:cstheme="minorHAnsi"/>
              </w:rPr>
              <w:t>. godini produciralo je premijern</w:t>
            </w:r>
            <w:r w:rsidR="009C7CE0">
              <w:rPr>
                <w:rFonts w:asciiTheme="minorHAnsi" w:hAnsiTheme="minorHAnsi" w:cstheme="minorHAnsi"/>
              </w:rPr>
              <w:t>i</w:t>
            </w:r>
            <w:r w:rsidRPr="00EF504C">
              <w:rPr>
                <w:rFonts w:asciiTheme="minorHAnsi" w:hAnsiTheme="minorHAnsi" w:cstheme="minorHAnsi"/>
              </w:rPr>
              <w:t xml:space="preserve"> naslov</w:t>
            </w:r>
            <w:r w:rsidR="009C7CE0">
              <w:rPr>
                <w:rFonts w:asciiTheme="minorHAnsi" w:hAnsiTheme="minorHAnsi" w:cstheme="minorHAnsi"/>
              </w:rPr>
              <w:t xml:space="preserve"> </w:t>
            </w:r>
            <w:r w:rsidR="009C7CE0" w:rsidRPr="009C7CE0">
              <w:rPr>
                <w:rFonts w:asciiTheme="minorHAnsi" w:hAnsiTheme="minorHAnsi" w:cstheme="minorHAnsi"/>
                <w:i/>
                <w:iCs/>
              </w:rPr>
              <w:t>Antigona</w:t>
            </w:r>
            <w:r w:rsidRPr="00EF504C">
              <w:rPr>
                <w:rFonts w:asciiTheme="minorHAnsi" w:hAnsiTheme="minorHAnsi" w:cstheme="minorHAnsi"/>
              </w:rPr>
              <w:t xml:space="preserve">, te </w:t>
            </w:r>
            <w:r w:rsidR="009C7CE0">
              <w:rPr>
                <w:rFonts w:asciiTheme="minorHAnsi" w:hAnsiTheme="minorHAnsi" w:cstheme="minorHAnsi"/>
              </w:rPr>
              <w:t xml:space="preserve">predstave </w:t>
            </w:r>
            <w:r w:rsidR="009C7CE0" w:rsidRPr="009C7CE0">
              <w:rPr>
                <w:rFonts w:asciiTheme="minorHAnsi" w:hAnsiTheme="minorHAnsi" w:cstheme="minorHAnsi"/>
                <w:i/>
                <w:iCs/>
              </w:rPr>
              <w:t>Mi</w:t>
            </w:r>
            <w:r w:rsidRPr="00EF504C">
              <w:rPr>
                <w:rFonts w:asciiTheme="minorHAnsi" w:hAnsiTheme="minorHAnsi" w:cstheme="minorHAnsi"/>
              </w:rPr>
              <w:t xml:space="preserve"> </w:t>
            </w:r>
            <w:r w:rsidR="009C7CE0">
              <w:rPr>
                <w:rFonts w:asciiTheme="minorHAnsi" w:hAnsiTheme="minorHAnsi" w:cstheme="minorHAnsi"/>
              </w:rPr>
              <w:t xml:space="preserve">i </w:t>
            </w:r>
            <w:r w:rsidR="009C7CE0" w:rsidRPr="009C7CE0">
              <w:rPr>
                <w:rFonts w:asciiTheme="minorHAnsi" w:hAnsiTheme="minorHAnsi" w:cstheme="minorHAnsi"/>
                <w:i/>
                <w:iCs/>
              </w:rPr>
              <w:t>Kultura laži</w:t>
            </w:r>
            <w:r w:rsidR="009C7CE0">
              <w:rPr>
                <w:rFonts w:asciiTheme="minorHAnsi" w:hAnsiTheme="minorHAnsi" w:cstheme="minorHAnsi"/>
              </w:rPr>
              <w:t xml:space="preserve"> </w:t>
            </w:r>
            <w:r w:rsidRPr="00EF504C">
              <w:rPr>
                <w:rFonts w:asciiTheme="minorHAnsi" w:hAnsiTheme="minorHAnsi" w:cstheme="minorHAnsi"/>
              </w:rPr>
              <w:t>dramskog studija Ivana Jelić.</w:t>
            </w:r>
          </w:p>
        </w:tc>
      </w:tr>
      <w:tr w:rsidR="00EF504C" w:rsidRPr="00EF504C" w14:paraId="22C02F9B" w14:textId="77777777" w:rsidTr="001D7481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0CAB7F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1BFCDB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1"/>
              </w:rPr>
              <w:t>1023 GLAZBENO-SCENSKI PROGRAMI</w:t>
            </w:r>
          </w:p>
        </w:tc>
      </w:tr>
      <w:tr w:rsidR="00EF504C" w:rsidRPr="00EF504C" w14:paraId="49476B81" w14:textId="77777777" w:rsidTr="001D7481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232D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5556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EF504C" w:rsidRPr="00EF504C" w14:paraId="0F6EF2C6" w14:textId="77777777" w:rsidTr="001D7481">
        <w:trPr>
          <w:trHeight w:val="752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1498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  <w:p w14:paraId="55C6F82A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B4124" w14:textId="77777777" w:rsidR="00EF504C" w:rsidRPr="00EF504C" w:rsidRDefault="00EF504C" w:rsidP="001D7481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  <w:lang w:bidi="hr-HR"/>
              </w:rPr>
            </w:pPr>
            <w:r w:rsidRPr="00EF504C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</w:tc>
      </w:tr>
      <w:tr w:rsidR="00EF504C" w:rsidRPr="00EF504C" w14:paraId="34D1FE19" w14:textId="77777777" w:rsidTr="001D7481">
        <w:trPr>
          <w:trHeight w:val="43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509A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4E009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A1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1"/>
              </w:rPr>
              <w:t>A102301 Glazbeno-scenski programi</w:t>
            </w:r>
          </w:p>
          <w:p w14:paraId="73C3AD08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504C" w:rsidRPr="00EF504C" w14:paraId="1CB7E34D" w14:textId="77777777" w:rsidTr="001D7481">
        <w:trPr>
          <w:trHeight w:val="30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DD806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5614D" w14:textId="77777777" w:rsidR="00EF504C" w:rsidRPr="00EF504C" w:rsidRDefault="00EF504C" w:rsidP="001D7481">
            <w:pPr>
              <w:pStyle w:val="BodyTex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04C">
              <w:rPr>
                <w:rFonts w:asciiTheme="minorHAnsi" w:hAnsiTheme="minorHAnsi" w:cstheme="minorHAnsi"/>
                <w:sz w:val="22"/>
                <w:szCs w:val="22"/>
              </w:rPr>
              <w:t>Opći cilj: Organizacija koncerata i glazbeno-scenskih programa</w:t>
            </w:r>
          </w:p>
          <w:p w14:paraId="5A12C261" w14:textId="77777777" w:rsidR="00EF504C" w:rsidRPr="00EF504C" w:rsidRDefault="00EF504C" w:rsidP="001D7481">
            <w:pPr>
              <w:pStyle w:val="BodyText"/>
              <w:spacing w:before="43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04C">
              <w:rPr>
                <w:rFonts w:asciiTheme="minorHAnsi" w:hAnsiTheme="minorHAnsi" w:cstheme="minorHAnsi"/>
                <w:sz w:val="22"/>
                <w:szCs w:val="22"/>
              </w:rPr>
              <w:t>Poseban cilj: Organizacija g</w:t>
            </w:r>
            <w:r w:rsidRPr="00EF504C">
              <w:rPr>
                <w:rFonts w:asciiTheme="minorHAnsi" w:hAnsiTheme="minorHAnsi" w:cstheme="minorHAnsi"/>
                <w:bCs/>
                <w:sz w:val="22"/>
                <w:szCs w:val="22"/>
              </w:rPr>
              <w:t>lazbenih programa na visokoj umjetničkoj etično – estetskoj razini s ciljem aktualizacije pojedinih tema iz Hrvatske i svjetske glazbene scene, ostvaruje kulturno – socijalni angažman u vlastitoj sredini te pridonosi promidžbi hrvatske glazbene umjetnosti</w:t>
            </w:r>
          </w:p>
        </w:tc>
      </w:tr>
      <w:tr w:rsidR="00EF504C" w:rsidRPr="00EF504C" w14:paraId="43B62DD2" w14:textId="77777777" w:rsidTr="001D7481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7AF34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lastRenderedPageBreak/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93A81" w14:textId="7B71B590" w:rsidR="00EF504C" w:rsidRPr="00EF504C" w:rsidRDefault="009C7CE0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18.000,00 </w:t>
            </w:r>
            <w:r w:rsidR="00EF504C"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EF504C" w:rsidRPr="00EF504C" w14:paraId="10862C06" w14:textId="77777777" w:rsidTr="001D7481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8ABA7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E01C1" w14:textId="4D3687FD" w:rsidR="00EF504C" w:rsidRPr="00EF504C" w:rsidRDefault="009C7CE0" w:rsidP="001D7481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5.382,80 </w:t>
            </w:r>
            <w:r w:rsidR="00EF504C"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eura</w:t>
            </w:r>
          </w:p>
        </w:tc>
      </w:tr>
      <w:tr w:rsidR="00EF504C" w:rsidRPr="00EF504C" w14:paraId="424872E7" w14:textId="77777777" w:rsidTr="001D7481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8CAB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82F39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color w:val="FF0000"/>
              </w:rPr>
            </w:pPr>
            <w:r w:rsidRPr="00EF504C">
              <w:rPr>
                <w:rFonts w:asciiTheme="minorHAnsi" w:hAnsiTheme="minorHAnsi" w:cstheme="minorHAnsi"/>
                <w:color w:val="000000" w:themeColor="text1"/>
              </w:rPr>
              <w:t>Broj održanih koncerata i ostalih glazbeno-scenskih programa</w:t>
            </w:r>
          </w:p>
        </w:tc>
      </w:tr>
      <w:tr w:rsidR="00EF504C" w:rsidRPr="00EF504C" w14:paraId="24E7A74F" w14:textId="77777777" w:rsidTr="001D7481">
        <w:trPr>
          <w:trHeight w:val="65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CCF8C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32094" w14:textId="2C7CE072" w:rsidR="00EF504C" w:rsidRPr="00EF504C" w:rsidRDefault="00EF504C" w:rsidP="001D7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F504C">
              <w:rPr>
                <w:rFonts w:asciiTheme="minorHAnsi" w:hAnsiTheme="minorHAnsi" w:cstheme="minorHAnsi"/>
                <w:color w:val="000000" w:themeColor="text1"/>
              </w:rPr>
              <w:t xml:space="preserve">Indeks godišnjeg ostvarenja iznosi </w:t>
            </w:r>
            <w:r w:rsidR="009C7CE0">
              <w:rPr>
                <w:rFonts w:asciiTheme="minorHAnsi" w:hAnsiTheme="minorHAnsi" w:cstheme="minorHAnsi"/>
                <w:color w:val="000000" w:themeColor="text1"/>
              </w:rPr>
              <w:t>29,90</w:t>
            </w:r>
            <w:r w:rsidRPr="00EF504C">
              <w:rPr>
                <w:rFonts w:asciiTheme="minorHAnsi" w:hAnsiTheme="minorHAnsi" w:cstheme="minorHAnsi"/>
                <w:color w:val="000000" w:themeColor="text1"/>
              </w:rPr>
              <w:t xml:space="preserve">%. </w:t>
            </w:r>
          </w:p>
          <w:p w14:paraId="0AE584D7" w14:textId="7427A2B6" w:rsidR="00EF504C" w:rsidRPr="00EF504C" w:rsidRDefault="00EF504C" w:rsidP="001D7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F504C">
              <w:rPr>
                <w:rFonts w:asciiTheme="minorHAnsi" w:hAnsiTheme="minorHAnsi" w:cstheme="minorHAnsi"/>
                <w:color w:val="000000" w:themeColor="text1"/>
              </w:rPr>
              <w:t>U prvoj polovici 202</w:t>
            </w:r>
            <w:r w:rsidR="009C7CE0">
              <w:rPr>
                <w:rFonts w:asciiTheme="minorHAnsi" w:hAnsiTheme="minorHAnsi" w:cstheme="minorHAnsi"/>
                <w:color w:val="000000" w:themeColor="text1"/>
              </w:rPr>
              <w:t>4</w:t>
            </w:r>
            <w:r w:rsidRPr="00EF504C">
              <w:rPr>
                <w:rFonts w:asciiTheme="minorHAnsi" w:hAnsiTheme="minorHAnsi" w:cstheme="minorHAnsi"/>
                <w:color w:val="000000" w:themeColor="text1"/>
              </w:rPr>
              <w:t xml:space="preserve">. godine u vlastitoj organizaciji održano je 10 koncerata, te realizirano  </w:t>
            </w:r>
            <w:r w:rsidR="004C66F8">
              <w:rPr>
                <w:rFonts w:asciiTheme="minorHAnsi" w:hAnsiTheme="minorHAnsi" w:cstheme="minorHAnsi"/>
                <w:color w:val="000000" w:themeColor="text1"/>
              </w:rPr>
              <w:t>3</w:t>
            </w:r>
            <w:r w:rsidR="009C7CE0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EF504C">
              <w:rPr>
                <w:rFonts w:asciiTheme="minorHAnsi" w:hAnsiTheme="minorHAnsi" w:cstheme="minorHAnsi"/>
                <w:color w:val="000000" w:themeColor="text1"/>
              </w:rPr>
              <w:t>glazbeno-poetsk</w:t>
            </w:r>
            <w:r w:rsidR="001F5376">
              <w:rPr>
                <w:rFonts w:asciiTheme="minorHAnsi" w:hAnsiTheme="minorHAnsi" w:cstheme="minorHAnsi"/>
                <w:color w:val="000000" w:themeColor="text1"/>
              </w:rPr>
              <w:t>a</w:t>
            </w:r>
            <w:r w:rsidRPr="00EF504C">
              <w:rPr>
                <w:rFonts w:asciiTheme="minorHAnsi" w:hAnsiTheme="minorHAnsi" w:cstheme="minorHAnsi"/>
                <w:color w:val="000000" w:themeColor="text1"/>
              </w:rPr>
              <w:t xml:space="preserve"> programa „</w:t>
            </w:r>
            <w:r w:rsidRPr="009C7CE0">
              <w:rPr>
                <w:rFonts w:asciiTheme="minorHAnsi" w:hAnsiTheme="minorHAnsi" w:cstheme="minorHAnsi"/>
                <w:i/>
                <w:iCs/>
                <w:color w:val="000000" w:themeColor="text1"/>
              </w:rPr>
              <w:t>Arsenov feral</w:t>
            </w:r>
            <w:r w:rsidRPr="00EF504C">
              <w:rPr>
                <w:rFonts w:asciiTheme="minorHAnsi" w:hAnsiTheme="minorHAnsi" w:cstheme="minorHAnsi"/>
                <w:color w:val="000000" w:themeColor="text1"/>
              </w:rPr>
              <w:t>“ . Isti program je gostova</w:t>
            </w:r>
            <w:r w:rsidR="009C7CE0">
              <w:rPr>
                <w:rFonts w:asciiTheme="minorHAnsi" w:hAnsiTheme="minorHAnsi" w:cstheme="minorHAnsi"/>
                <w:color w:val="000000" w:themeColor="text1"/>
              </w:rPr>
              <w:t>o na Hvaru</w:t>
            </w:r>
            <w:r w:rsidR="001F5376">
              <w:rPr>
                <w:rFonts w:asciiTheme="minorHAnsi" w:hAnsiTheme="minorHAnsi" w:cstheme="minorHAnsi"/>
                <w:color w:val="000000" w:themeColor="text1"/>
              </w:rPr>
              <w:t xml:space="preserve"> i u </w:t>
            </w:r>
            <w:r w:rsidR="009C7CE0">
              <w:rPr>
                <w:rFonts w:asciiTheme="minorHAnsi" w:hAnsiTheme="minorHAnsi" w:cstheme="minorHAnsi"/>
                <w:color w:val="000000" w:themeColor="text1"/>
              </w:rPr>
              <w:t>Benkovcu</w:t>
            </w:r>
            <w:r w:rsidRPr="00EF504C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2225F2FD" w14:textId="77777777" w:rsidR="00EF504C" w:rsidRPr="00EF504C" w:rsidRDefault="00EF504C" w:rsidP="001D748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theme="minorHAnsi"/>
                <w:color w:val="FF0000"/>
              </w:rPr>
            </w:pPr>
          </w:p>
        </w:tc>
      </w:tr>
      <w:tr w:rsidR="00EF504C" w:rsidRPr="00EF504C" w14:paraId="280EAEEA" w14:textId="77777777" w:rsidTr="001D7481">
        <w:trPr>
          <w:trHeight w:val="34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0A3B8B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NAZIV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9B2607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1"/>
              </w:rPr>
              <w:t>1024 MEĐUNARODNI DJEČJI FESTIVAL</w:t>
            </w:r>
          </w:p>
        </w:tc>
      </w:tr>
      <w:tr w:rsidR="00EF504C" w:rsidRPr="00EF504C" w14:paraId="6F6672B6" w14:textId="77777777" w:rsidTr="001D7481">
        <w:trPr>
          <w:trHeight w:val="240"/>
        </w:trPr>
        <w:tc>
          <w:tcPr>
            <w:tcW w:w="26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90EB7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</w:rPr>
            </w:pPr>
            <w:r w:rsidRPr="00EF504C">
              <w:rPr>
                <w:rFonts w:asciiTheme="minorHAnsi" w:hAnsiTheme="minorHAnsi" w:cstheme="minorHAnsi"/>
                <w:b/>
              </w:rPr>
              <w:t>Funkcijska oznaka</w:t>
            </w:r>
          </w:p>
        </w:tc>
        <w:tc>
          <w:tcPr>
            <w:tcW w:w="73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55CD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</w:rPr>
              <w:t>0820 Službe kulture</w:t>
            </w:r>
          </w:p>
        </w:tc>
      </w:tr>
      <w:tr w:rsidR="00EF504C" w:rsidRPr="00EF504C" w14:paraId="4B3C7165" w14:textId="77777777" w:rsidTr="001D7481">
        <w:trPr>
          <w:trHeight w:val="1181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B96C5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Regulatorni okvir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D7B7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  <w:r w:rsidRPr="00EF504C">
              <w:rPr>
                <w:rFonts w:asciiTheme="minorHAnsi" w:hAnsiTheme="minorHAnsi" w:cstheme="minorHAnsi"/>
                <w:lang w:bidi="hr-HR"/>
              </w:rPr>
              <w:t xml:space="preserve">Odluka o osnivanju kazališta – Hrvatsko narodno kazalište u Šibeniku ("Službeni glasnik Grada Šibenika" br. 5/10., 8/11., 9/13., 4/19., 6/20. i 6/23.)           </w:t>
            </w:r>
          </w:p>
          <w:p w14:paraId="3DD73A48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</w:p>
          <w:p w14:paraId="04E3BBD8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  <w:r w:rsidRPr="00EF504C">
              <w:rPr>
                <w:rFonts w:asciiTheme="minorHAnsi" w:hAnsiTheme="minorHAnsi" w:cstheme="minorHAnsi"/>
                <w:lang w:bidi="hr-HR"/>
              </w:rPr>
              <w:t>Zakon o kazalištima (˝Narodne novine˝ br. 23/23.)</w:t>
            </w:r>
          </w:p>
          <w:p w14:paraId="2FA9FF39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lang w:bidi="hr-HR"/>
              </w:rPr>
            </w:pPr>
          </w:p>
          <w:p w14:paraId="27B0F890" w14:textId="77777777" w:rsidR="00EF504C" w:rsidRPr="00EF504C" w:rsidRDefault="00EF504C" w:rsidP="001D7481">
            <w:pPr>
              <w:spacing w:line="276" w:lineRule="auto"/>
              <w:ind w:right="897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lang w:bidi="hr-HR"/>
              </w:rPr>
              <w:t>Pravilnik o statusu, financiranju i donošenju programa Međunarodnog dječjeg festivala Šibenik – Hrvatska (˝Narodne novine ˝, br. 104/19. i 110/19.)</w:t>
            </w:r>
          </w:p>
        </w:tc>
      </w:tr>
      <w:tr w:rsidR="00EF504C" w:rsidRPr="00EF504C" w14:paraId="3B0E7C54" w14:textId="77777777" w:rsidTr="001D7481">
        <w:trPr>
          <w:trHeight w:val="349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71BA9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Opis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D18C9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33CC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33CC"/>
              </w:rPr>
              <w:t>A102401 Međunarodni dječji festival</w:t>
            </w:r>
          </w:p>
          <w:p w14:paraId="6BBC8A31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504C" w:rsidRPr="00EF504C" w14:paraId="2AAD6CC5" w14:textId="77777777" w:rsidTr="001D7481">
        <w:trPr>
          <w:trHeight w:val="30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4662D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Ciljevi programa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0A703" w14:textId="77777777" w:rsidR="00EF504C" w:rsidRPr="00EF504C" w:rsidRDefault="00EF504C" w:rsidP="001D7481">
            <w:pPr>
              <w:pStyle w:val="BodyText"/>
              <w:spacing w:line="276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04C">
              <w:rPr>
                <w:rFonts w:asciiTheme="minorHAnsi" w:hAnsiTheme="minorHAnsi" w:cstheme="minorHAnsi"/>
                <w:sz w:val="22"/>
                <w:szCs w:val="22"/>
              </w:rPr>
              <w:t>Opći cilj: Promicanje stvaralaštva za djecu i dječjeg stvaralaštva</w:t>
            </w:r>
          </w:p>
          <w:p w14:paraId="2A63EFB0" w14:textId="77777777" w:rsidR="00EF504C" w:rsidRPr="00EF504C" w:rsidRDefault="00EF504C" w:rsidP="001D7481">
            <w:pPr>
              <w:pStyle w:val="BodyText"/>
              <w:spacing w:before="43" w:line="276" w:lineRule="auto"/>
              <w:ind w:left="0" w:right="-4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F504C">
              <w:rPr>
                <w:rFonts w:asciiTheme="minorHAnsi" w:hAnsiTheme="minorHAnsi" w:cstheme="minorHAnsi"/>
                <w:sz w:val="22"/>
                <w:szCs w:val="22"/>
              </w:rPr>
              <w:t>Poseban cilj: Organizacija MDF-a, okruglih stolova i razvijanje međunarodne kulturne suradnje</w:t>
            </w:r>
          </w:p>
          <w:p w14:paraId="56EF055C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EF504C" w:rsidRPr="00EF504C" w14:paraId="5BCE84A1" w14:textId="77777777" w:rsidTr="001D7481">
        <w:trPr>
          <w:trHeight w:val="59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8CF1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Planirana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5EF69" w14:textId="0B48ED20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3</w:t>
            </w:r>
            <w:r w:rsidR="009C7CE0">
              <w:rPr>
                <w:rFonts w:asciiTheme="minorHAnsi" w:hAnsiTheme="minorHAnsi" w:cstheme="minorHAnsi"/>
                <w:b/>
                <w:bCs/>
                <w:color w:val="0000A3"/>
              </w:rPr>
              <w:t>2</w:t>
            </w:r>
            <w:r w:rsidRPr="00EF504C">
              <w:rPr>
                <w:rFonts w:asciiTheme="minorHAnsi" w:hAnsiTheme="minorHAnsi" w:cstheme="minorHAnsi"/>
                <w:b/>
                <w:bCs/>
                <w:color w:val="0000A3"/>
              </w:rPr>
              <w:t>1.000,00 eura</w:t>
            </w:r>
          </w:p>
        </w:tc>
      </w:tr>
      <w:tr w:rsidR="00EF504C" w:rsidRPr="00EF504C" w14:paraId="7BEDC357" w14:textId="77777777" w:rsidTr="001D7481">
        <w:trPr>
          <w:trHeight w:val="598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0D80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Izvršena sredstva za provedbu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9A864" w14:textId="54A9AA3A" w:rsidR="00EF504C" w:rsidRPr="00EF504C" w:rsidRDefault="009C7CE0" w:rsidP="001D7481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A3"/>
              </w:rPr>
              <w:t>105.073,97</w:t>
            </w:r>
            <w:r w:rsidR="00EF504C" w:rsidRPr="00EF504C">
              <w:rPr>
                <w:rFonts w:asciiTheme="minorHAnsi" w:hAnsiTheme="minorHAnsi" w:cstheme="minorHAnsi"/>
                <w:b/>
                <w:bCs/>
                <w:color w:val="0000A3"/>
              </w:rPr>
              <w:t xml:space="preserve"> eura</w:t>
            </w:r>
          </w:p>
        </w:tc>
      </w:tr>
      <w:tr w:rsidR="00EF504C" w:rsidRPr="00EF504C" w14:paraId="1F925A18" w14:textId="77777777" w:rsidTr="001D7481">
        <w:trPr>
          <w:trHeight w:val="30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D797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Pokazatelj rezultata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ABDDC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EF504C">
              <w:rPr>
                <w:rFonts w:asciiTheme="minorHAnsi" w:hAnsiTheme="minorHAnsi" w:cstheme="minorHAnsi"/>
                <w:color w:val="000000" w:themeColor="text1"/>
              </w:rPr>
              <w:t xml:space="preserve">Broj održanih programa – predstava, projekcija filmova, radionica, broj prodanih ulaznica, broj sudionika </w:t>
            </w:r>
          </w:p>
        </w:tc>
      </w:tr>
      <w:tr w:rsidR="00EF504C" w:rsidRPr="00EF504C" w14:paraId="6AA3E9ED" w14:textId="77777777" w:rsidTr="001D7481">
        <w:trPr>
          <w:trHeight w:val="715"/>
        </w:trPr>
        <w:tc>
          <w:tcPr>
            <w:tcW w:w="2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714E6" w14:textId="77777777" w:rsidR="00EF504C" w:rsidRPr="00EF504C" w:rsidRDefault="00EF504C" w:rsidP="001D7481">
            <w:pPr>
              <w:spacing w:line="276" w:lineRule="auto"/>
              <w:jc w:val="both"/>
              <w:rPr>
                <w:rFonts w:asciiTheme="minorHAnsi" w:hAnsiTheme="minorHAnsi" w:cstheme="minorHAnsi"/>
              </w:rPr>
            </w:pPr>
            <w:r w:rsidRPr="00EF504C">
              <w:rPr>
                <w:rFonts w:asciiTheme="minorHAnsi" w:hAnsiTheme="minorHAnsi" w:cstheme="minorHAnsi"/>
                <w:b/>
              </w:rPr>
              <w:t xml:space="preserve">Obrazloženje </w:t>
            </w:r>
          </w:p>
        </w:tc>
        <w:tc>
          <w:tcPr>
            <w:tcW w:w="7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8EA6" w14:textId="4AA8C144" w:rsidR="00EF504C" w:rsidRPr="00826895" w:rsidRDefault="00EF504C" w:rsidP="001D748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826895">
              <w:rPr>
                <w:rFonts w:asciiTheme="minorHAnsi" w:hAnsiTheme="minorHAnsi" w:cstheme="minorHAnsi"/>
              </w:rPr>
              <w:t>Ovogodišnji 6</w:t>
            </w:r>
            <w:r w:rsidR="00511007" w:rsidRPr="00826895">
              <w:rPr>
                <w:rFonts w:asciiTheme="minorHAnsi" w:hAnsiTheme="minorHAnsi" w:cstheme="minorHAnsi"/>
              </w:rPr>
              <w:t>4</w:t>
            </w:r>
            <w:r w:rsidRPr="00826895">
              <w:rPr>
                <w:rFonts w:asciiTheme="minorHAnsi" w:hAnsiTheme="minorHAnsi" w:cstheme="minorHAnsi"/>
              </w:rPr>
              <w:t>. MDF započeo je 2</w:t>
            </w:r>
            <w:r w:rsidR="001F5376" w:rsidRPr="00826895">
              <w:rPr>
                <w:rFonts w:asciiTheme="minorHAnsi" w:hAnsiTheme="minorHAnsi" w:cstheme="minorHAnsi"/>
              </w:rPr>
              <w:t>2</w:t>
            </w:r>
            <w:r w:rsidRPr="00826895">
              <w:rPr>
                <w:rFonts w:asciiTheme="minorHAnsi" w:hAnsiTheme="minorHAnsi" w:cstheme="minorHAnsi"/>
              </w:rPr>
              <w:t xml:space="preserve">. lipnja i trajao do </w:t>
            </w:r>
            <w:r w:rsidR="001F5376" w:rsidRPr="00826895">
              <w:rPr>
                <w:rFonts w:asciiTheme="minorHAnsi" w:hAnsiTheme="minorHAnsi" w:cstheme="minorHAnsi"/>
              </w:rPr>
              <w:t>6</w:t>
            </w:r>
            <w:r w:rsidRPr="00826895">
              <w:rPr>
                <w:rFonts w:asciiTheme="minorHAnsi" w:hAnsiTheme="minorHAnsi" w:cstheme="minorHAnsi"/>
              </w:rPr>
              <w:t>. srpnja 202</w:t>
            </w:r>
            <w:r w:rsidR="00511007" w:rsidRPr="00826895">
              <w:rPr>
                <w:rFonts w:asciiTheme="minorHAnsi" w:hAnsiTheme="minorHAnsi" w:cstheme="minorHAnsi"/>
              </w:rPr>
              <w:t>4</w:t>
            </w:r>
            <w:r w:rsidRPr="00826895">
              <w:rPr>
                <w:rFonts w:asciiTheme="minorHAnsi" w:hAnsiTheme="minorHAnsi" w:cstheme="minorHAnsi"/>
              </w:rPr>
              <w:t>. godine. Veći dio troškova organizacije pripada drugom polugodištu 202</w:t>
            </w:r>
            <w:r w:rsidR="001F5376" w:rsidRPr="00826895">
              <w:rPr>
                <w:rFonts w:asciiTheme="minorHAnsi" w:hAnsiTheme="minorHAnsi" w:cstheme="minorHAnsi"/>
              </w:rPr>
              <w:t>4</w:t>
            </w:r>
            <w:r w:rsidRPr="00826895">
              <w:rPr>
                <w:rFonts w:asciiTheme="minorHAnsi" w:hAnsiTheme="minorHAnsi" w:cstheme="minorHAnsi"/>
              </w:rPr>
              <w:t xml:space="preserve">. godine pa je indeks godišnjeg ostvarenja svega </w:t>
            </w:r>
            <w:r w:rsidR="001F5376" w:rsidRPr="00826895">
              <w:rPr>
                <w:rFonts w:asciiTheme="minorHAnsi" w:hAnsiTheme="minorHAnsi" w:cstheme="minorHAnsi"/>
              </w:rPr>
              <w:t>32,73</w:t>
            </w:r>
            <w:r w:rsidRPr="00826895">
              <w:rPr>
                <w:rFonts w:asciiTheme="minorHAnsi" w:hAnsiTheme="minorHAnsi" w:cstheme="minorHAnsi"/>
              </w:rPr>
              <w:t>%.</w:t>
            </w:r>
          </w:p>
          <w:p w14:paraId="18B26101" w14:textId="77777777" w:rsidR="00EF504C" w:rsidRPr="00430E73" w:rsidRDefault="00EF504C" w:rsidP="001D7481">
            <w:pPr>
              <w:spacing w:line="276" w:lineRule="auto"/>
              <w:rPr>
                <w:rFonts w:asciiTheme="minorHAnsi" w:hAnsiTheme="minorHAnsi" w:cstheme="minorHAnsi"/>
                <w:highlight w:val="yellow"/>
              </w:rPr>
            </w:pPr>
          </w:p>
          <w:p w14:paraId="0E403005" w14:textId="30524FA1" w:rsidR="00EF504C" w:rsidRPr="00826895" w:rsidRDefault="00EF504C" w:rsidP="001D7481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E635AF">
              <w:rPr>
                <w:rFonts w:asciiTheme="minorHAnsi" w:hAnsiTheme="minorHAnsi" w:cstheme="minorHAnsi"/>
              </w:rPr>
              <w:t>U periodu od 2</w:t>
            </w:r>
            <w:r w:rsidR="00826895" w:rsidRPr="00E635AF">
              <w:rPr>
                <w:rFonts w:asciiTheme="minorHAnsi" w:hAnsiTheme="minorHAnsi" w:cstheme="minorHAnsi"/>
              </w:rPr>
              <w:t>2</w:t>
            </w:r>
            <w:r w:rsidRPr="00E635AF">
              <w:rPr>
                <w:rFonts w:asciiTheme="minorHAnsi" w:hAnsiTheme="minorHAnsi" w:cstheme="minorHAnsi"/>
              </w:rPr>
              <w:t>. do 30. lipnja 202</w:t>
            </w:r>
            <w:r w:rsidR="00E635AF" w:rsidRPr="00E635AF">
              <w:rPr>
                <w:rFonts w:asciiTheme="minorHAnsi" w:hAnsiTheme="minorHAnsi" w:cstheme="minorHAnsi"/>
              </w:rPr>
              <w:t>4</w:t>
            </w:r>
            <w:r w:rsidRPr="00E635AF">
              <w:rPr>
                <w:rFonts w:asciiTheme="minorHAnsi" w:hAnsiTheme="minorHAnsi" w:cstheme="minorHAnsi"/>
              </w:rPr>
              <w:t xml:space="preserve">. godine realizirano je </w:t>
            </w:r>
            <w:r w:rsidR="00E635AF" w:rsidRPr="00E635AF">
              <w:rPr>
                <w:rFonts w:asciiTheme="minorHAnsi" w:hAnsiTheme="minorHAnsi" w:cstheme="minorHAnsi"/>
              </w:rPr>
              <w:t>3</w:t>
            </w:r>
            <w:r w:rsidRPr="00E635AF">
              <w:rPr>
                <w:rFonts w:asciiTheme="minorHAnsi" w:hAnsiTheme="minorHAnsi" w:cstheme="minorHAnsi"/>
              </w:rPr>
              <w:t xml:space="preserve"> inozemnih predstava, </w:t>
            </w:r>
            <w:r w:rsidR="00E635AF" w:rsidRPr="00E635AF">
              <w:rPr>
                <w:rFonts w:asciiTheme="minorHAnsi" w:hAnsiTheme="minorHAnsi" w:cstheme="minorHAnsi"/>
              </w:rPr>
              <w:t>8</w:t>
            </w:r>
            <w:r w:rsidRPr="00E635AF">
              <w:rPr>
                <w:rFonts w:asciiTheme="minorHAnsi" w:hAnsiTheme="minorHAnsi" w:cstheme="minorHAnsi"/>
              </w:rPr>
              <w:t xml:space="preserve"> filmskih projekcija na Gorici te 2</w:t>
            </w:r>
            <w:r w:rsidR="00E635AF">
              <w:rPr>
                <w:rFonts w:asciiTheme="minorHAnsi" w:hAnsiTheme="minorHAnsi" w:cstheme="minorHAnsi"/>
              </w:rPr>
              <w:t>7</w:t>
            </w:r>
            <w:r w:rsidR="00E635AF" w:rsidRPr="00E635AF">
              <w:rPr>
                <w:rFonts w:asciiTheme="minorHAnsi" w:hAnsiTheme="minorHAnsi" w:cstheme="minorHAnsi"/>
              </w:rPr>
              <w:t xml:space="preserve"> </w:t>
            </w:r>
            <w:r w:rsidRPr="00E635AF">
              <w:rPr>
                <w:rFonts w:asciiTheme="minorHAnsi" w:hAnsiTheme="minorHAnsi" w:cstheme="minorHAnsi"/>
              </w:rPr>
              <w:t xml:space="preserve">radionica za djecu u sklopu </w:t>
            </w:r>
            <w:r w:rsidRPr="00826895">
              <w:rPr>
                <w:rFonts w:asciiTheme="minorHAnsi" w:hAnsiTheme="minorHAnsi" w:cstheme="minorHAnsi"/>
              </w:rPr>
              <w:lastRenderedPageBreak/>
              <w:t xml:space="preserve">Radioničkog programa. Ostale izvedbe realizirane su u periodu od 1. do </w:t>
            </w:r>
            <w:r w:rsidR="00826895" w:rsidRPr="00826895">
              <w:rPr>
                <w:rFonts w:asciiTheme="minorHAnsi" w:hAnsiTheme="minorHAnsi" w:cstheme="minorHAnsi"/>
              </w:rPr>
              <w:t>6</w:t>
            </w:r>
            <w:r w:rsidRPr="00826895">
              <w:rPr>
                <w:rFonts w:asciiTheme="minorHAnsi" w:hAnsiTheme="minorHAnsi" w:cstheme="minorHAnsi"/>
              </w:rPr>
              <w:t>. srpnja 202</w:t>
            </w:r>
            <w:r w:rsidR="00826895" w:rsidRPr="00826895">
              <w:rPr>
                <w:rFonts w:asciiTheme="minorHAnsi" w:hAnsiTheme="minorHAnsi" w:cstheme="minorHAnsi"/>
              </w:rPr>
              <w:t>4</w:t>
            </w:r>
            <w:r w:rsidRPr="00826895">
              <w:rPr>
                <w:rFonts w:asciiTheme="minorHAnsi" w:hAnsiTheme="minorHAnsi" w:cstheme="minorHAnsi"/>
              </w:rPr>
              <w:t>. godine.</w:t>
            </w:r>
          </w:p>
          <w:p w14:paraId="4F7EDC53" w14:textId="77777777" w:rsidR="00EF504C" w:rsidRPr="00430E73" w:rsidRDefault="00EF504C" w:rsidP="001D7481">
            <w:pPr>
              <w:spacing w:line="276" w:lineRule="auto"/>
              <w:rPr>
                <w:rFonts w:asciiTheme="minorHAnsi" w:hAnsiTheme="minorHAnsi" w:cstheme="minorHAnsi"/>
                <w:color w:val="FF0000"/>
                <w:highlight w:val="yellow"/>
              </w:rPr>
            </w:pPr>
          </w:p>
          <w:p w14:paraId="50D731F2" w14:textId="46787CD0" w:rsidR="00EF504C" w:rsidRPr="00EF504C" w:rsidRDefault="00EF504C" w:rsidP="001D7481">
            <w:pPr>
              <w:spacing w:line="276" w:lineRule="auto"/>
              <w:rPr>
                <w:rFonts w:asciiTheme="minorHAnsi" w:hAnsiTheme="minorHAnsi" w:cstheme="minorHAnsi"/>
                <w:color w:val="FF0000"/>
              </w:rPr>
            </w:pPr>
            <w:r w:rsidRPr="005A074D">
              <w:rPr>
                <w:rFonts w:asciiTheme="minorHAnsi" w:hAnsiTheme="minorHAnsi" w:cstheme="minorHAnsi"/>
              </w:rPr>
              <w:t>Do 30. lipnja 202</w:t>
            </w:r>
            <w:r w:rsidR="00826895" w:rsidRPr="005A074D">
              <w:rPr>
                <w:rFonts w:asciiTheme="minorHAnsi" w:hAnsiTheme="minorHAnsi" w:cstheme="minorHAnsi"/>
              </w:rPr>
              <w:t>4</w:t>
            </w:r>
            <w:r w:rsidRPr="005A074D">
              <w:rPr>
                <w:rFonts w:asciiTheme="minorHAnsi" w:hAnsiTheme="minorHAnsi" w:cstheme="minorHAnsi"/>
              </w:rPr>
              <w:t xml:space="preserve">. godine ukupno je prodano </w:t>
            </w:r>
            <w:r w:rsidR="005A074D" w:rsidRPr="005A074D">
              <w:rPr>
                <w:rFonts w:asciiTheme="minorHAnsi" w:hAnsiTheme="minorHAnsi" w:cstheme="minorHAnsi"/>
              </w:rPr>
              <w:t xml:space="preserve">8.344 </w:t>
            </w:r>
            <w:r w:rsidRPr="005A074D">
              <w:rPr>
                <w:rFonts w:asciiTheme="minorHAnsi" w:hAnsiTheme="minorHAnsi" w:cstheme="minorHAnsi"/>
              </w:rPr>
              <w:t>ulaznica.</w:t>
            </w:r>
          </w:p>
        </w:tc>
      </w:tr>
    </w:tbl>
    <w:p w14:paraId="41B76B22" w14:textId="77777777" w:rsidR="00CB20A3" w:rsidRDefault="00CB20A3" w:rsidP="00EF504C">
      <w:pPr>
        <w:spacing w:line="360" w:lineRule="auto"/>
        <w:jc w:val="both"/>
        <w:rPr>
          <w:rFonts w:asciiTheme="minorHAnsi" w:hAnsiTheme="minorHAnsi" w:cstheme="minorHAnsi"/>
        </w:rPr>
      </w:pPr>
    </w:p>
    <w:p w14:paraId="549315B5" w14:textId="77777777" w:rsidR="00C622E1" w:rsidRDefault="00C622E1" w:rsidP="00EF504C">
      <w:pPr>
        <w:spacing w:line="360" w:lineRule="auto"/>
        <w:jc w:val="both"/>
        <w:rPr>
          <w:rFonts w:asciiTheme="minorHAnsi" w:hAnsiTheme="minorHAnsi" w:cstheme="minorHAnsi"/>
        </w:rPr>
      </w:pPr>
    </w:p>
    <w:p w14:paraId="5B1CEF55" w14:textId="77777777" w:rsidR="008E03CD" w:rsidRDefault="008E03CD" w:rsidP="00EF504C">
      <w:pPr>
        <w:spacing w:line="360" w:lineRule="auto"/>
        <w:jc w:val="both"/>
        <w:rPr>
          <w:rFonts w:asciiTheme="minorHAnsi" w:hAnsiTheme="minorHAnsi" w:cstheme="minorHAnsi"/>
        </w:rPr>
      </w:pPr>
    </w:p>
    <w:p w14:paraId="2B515C35" w14:textId="77777777" w:rsidR="00EF504C" w:rsidRPr="00C6118B" w:rsidRDefault="00EF504C" w:rsidP="00EF504C">
      <w:pPr>
        <w:rPr>
          <w:rFonts w:asciiTheme="minorHAnsi" w:hAnsiTheme="minorHAnsi" w:cstheme="minorHAnsi"/>
          <w:b/>
          <w:bCs/>
        </w:rPr>
      </w:pPr>
      <w:r w:rsidRPr="00C6118B">
        <w:rPr>
          <w:rFonts w:asciiTheme="minorHAnsi" w:hAnsiTheme="minorHAnsi" w:cstheme="minorHAnsi"/>
          <w:b/>
          <w:bCs/>
        </w:rPr>
        <w:t>IV. POSEBNI IZVJEŠTAJI</w:t>
      </w:r>
    </w:p>
    <w:p w14:paraId="6B4B25B5" w14:textId="77777777" w:rsidR="00EF504C" w:rsidRPr="00EF504C" w:rsidRDefault="00EF504C" w:rsidP="00EF504C">
      <w:pPr>
        <w:rPr>
          <w:rFonts w:asciiTheme="minorHAnsi" w:hAnsiTheme="minorHAnsi" w:cstheme="minorHAnsi"/>
        </w:rPr>
      </w:pPr>
    </w:p>
    <w:p w14:paraId="47191659" w14:textId="77777777" w:rsidR="00C6118B" w:rsidRDefault="00C6118B" w:rsidP="00C6118B">
      <w:pPr>
        <w:jc w:val="both"/>
        <w:rPr>
          <w:rFonts w:asciiTheme="minorHAnsi" w:hAnsiTheme="minorHAnsi" w:cstheme="minorHAnsi"/>
          <w:i/>
          <w:iCs/>
        </w:rPr>
      </w:pPr>
    </w:p>
    <w:p w14:paraId="3CF28365" w14:textId="3DB09142" w:rsidR="00EF504C" w:rsidRPr="003E7E4E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 xml:space="preserve">IV. 1. </w:t>
      </w:r>
      <w:r w:rsidR="003E7E4E" w:rsidRPr="003E7E4E">
        <w:rPr>
          <w:rFonts w:asciiTheme="minorHAnsi" w:hAnsiTheme="minorHAnsi" w:cstheme="minorHAnsi"/>
        </w:rPr>
        <w:t>Izvještaj o zaduživanju na domaćem i stranom tržištu novca i kapitala</w:t>
      </w:r>
    </w:p>
    <w:p w14:paraId="44027AF2" w14:textId="77777777" w:rsidR="00C6118B" w:rsidRPr="00C6118B" w:rsidRDefault="00C6118B" w:rsidP="00E44BEA">
      <w:pPr>
        <w:spacing w:line="276" w:lineRule="auto"/>
        <w:jc w:val="both"/>
        <w:rPr>
          <w:rFonts w:asciiTheme="minorHAnsi" w:hAnsiTheme="minorHAnsi" w:cstheme="minorHAnsi"/>
          <w:i/>
          <w:iCs/>
        </w:rPr>
      </w:pPr>
    </w:p>
    <w:p w14:paraId="3EA7903C" w14:textId="45B82223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U izvještajnom razdoblju Hrvatsko narodno kazalište u Šibeniku nije imalo zaduživanja po dugoročnim kreditima i zajmovima.</w:t>
      </w:r>
    </w:p>
    <w:p w14:paraId="0713A820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3D551FC5" w14:textId="4A909817" w:rsidR="00EF504C" w:rsidRPr="003E7E4E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 xml:space="preserve">IV.2. </w:t>
      </w:r>
      <w:r w:rsidR="003E7E4E" w:rsidRPr="003E7E4E">
        <w:rPr>
          <w:rFonts w:asciiTheme="minorHAnsi" w:hAnsiTheme="minorHAnsi" w:cstheme="minorHAnsi"/>
        </w:rPr>
        <w:t>Izvještaj o korištenju sredstava fondova europske unije</w:t>
      </w:r>
    </w:p>
    <w:p w14:paraId="51FDA990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05B09778" w14:textId="297EDA8E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U</w:t>
      </w:r>
      <w:r w:rsidR="00F36D38">
        <w:rPr>
          <w:rFonts w:asciiTheme="minorHAnsi" w:hAnsiTheme="minorHAnsi" w:cstheme="minorHAnsi"/>
        </w:rPr>
        <w:t xml:space="preserve"> </w:t>
      </w:r>
      <w:r w:rsidR="0043653A">
        <w:rPr>
          <w:rFonts w:asciiTheme="minorHAnsi" w:hAnsiTheme="minorHAnsi" w:cstheme="minorHAnsi"/>
        </w:rPr>
        <w:t>rujnu 2024. godine u Hrvatskom narodnom kazalištu u Šibeniku započinje proces Energetske obnove zgrade Kazališta</w:t>
      </w:r>
      <w:r w:rsidR="00F36D38">
        <w:rPr>
          <w:rFonts w:asciiTheme="minorHAnsi" w:hAnsiTheme="minorHAnsi" w:cstheme="minorHAnsi"/>
        </w:rPr>
        <w:t xml:space="preserve"> temeljem Ugovora o dodjeli bespovratnih sredstava: NPOO.C6.R1-I3.01.0013 temeljem kojega HNK u Šibeniku ostvaruje pravo na dodjelu bespovratnih sredstava u najvišem iznosu prihvatljivih troškova od 1.318.737,61 eura. </w:t>
      </w:r>
      <w:r w:rsidR="0043653A">
        <w:rPr>
          <w:rFonts w:asciiTheme="minorHAnsi" w:hAnsiTheme="minorHAnsi" w:cstheme="minorHAnsi"/>
        </w:rPr>
        <w:t xml:space="preserve">Samim time u </w:t>
      </w:r>
      <w:r w:rsidRPr="00EF504C">
        <w:rPr>
          <w:rFonts w:asciiTheme="minorHAnsi" w:hAnsiTheme="minorHAnsi" w:cstheme="minorHAnsi"/>
        </w:rPr>
        <w:t xml:space="preserve">izvještajnom razdoblju Hrvatsko narodno kazalište u Šibeniku ostvarilo </w:t>
      </w:r>
      <w:r w:rsidR="0043653A">
        <w:rPr>
          <w:rFonts w:asciiTheme="minorHAnsi" w:hAnsiTheme="minorHAnsi" w:cstheme="minorHAnsi"/>
        </w:rPr>
        <w:t xml:space="preserve">je dio </w:t>
      </w:r>
      <w:r w:rsidRPr="00EF504C">
        <w:rPr>
          <w:rFonts w:asciiTheme="minorHAnsi" w:hAnsiTheme="minorHAnsi" w:cstheme="minorHAnsi"/>
        </w:rPr>
        <w:t>ugovore</w:t>
      </w:r>
      <w:r w:rsidR="0043653A">
        <w:rPr>
          <w:rFonts w:asciiTheme="minorHAnsi" w:hAnsiTheme="minorHAnsi" w:cstheme="minorHAnsi"/>
        </w:rPr>
        <w:t xml:space="preserve">nih </w:t>
      </w:r>
      <w:r w:rsidRPr="00EF504C">
        <w:rPr>
          <w:rFonts w:asciiTheme="minorHAnsi" w:hAnsiTheme="minorHAnsi" w:cstheme="minorHAnsi"/>
        </w:rPr>
        <w:t xml:space="preserve"> sredst</w:t>
      </w:r>
      <w:r w:rsidR="0043653A">
        <w:rPr>
          <w:rFonts w:asciiTheme="minorHAnsi" w:hAnsiTheme="minorHAnsi" w:cstheme="minorHAnsi"/>
        </w:rPr>
        <w:t>a</w:t>
      </w:r>
      <w:r w:rsidRPr="00EF504C">
        <w:rPr>
          <w:rFonts w:asciiTheme="minorHAnsi" w:hAnsiTheme="minorHAnsi" w:cstheme="minorHAnsi"/>
        </w:rPr>
        <w:t>va fondova Europske unije</w:t>
      </w:r>
      <w:r w:rsidR="0043653A">
        <w:rPr>
          <w:rFonts w:asciiTheme="minorHAnsi" w:hAnsiTheme="minorHAnsi" w:cstheme="minorHAnsi"/>
        </w:rPr>
        <w:t xml:space="preserve"> u iznosu od 40.4</w:t>
      </w:r>
      <w:r w:rsidR="00F36D38">
        <w:rPr>
          <w:rFonts w:asciiTheme="minorHAnsi" w:hAnsiTheme="minorHAnsi" w:cstheme="minorHAnsi"/>
        </w:rPr>
        <w:t>4</w:t>
      </w:r>
      <w:r w:rsidR="0043653A">
        <w:rPr>
          <w:rFonts w:asciiTheme="minorHAnsi" w:hAnsiTheme="minorHAnsi" w:cstheme="minorHAnsi"/>
        </w:rPr>
        <w:t>9,01 eura.</w:t>
      </w:r>
    </w:p>
    <w:p w14:paraId="71892FF4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62AF9455" w14:textId="1109CCB1" w:rsidR="00EF504C" w:rsidRPr="003E7E4E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 xml:space="preserve">IV.3. </w:t>
      </w:r>
      <w:r w:rsidR="003E7E4E" w:rsidRPr="003E7E4E">
        <w:rPr>
          <w:rFonts w:asciiTheme="minorHAnsi" w:hAnsiTheme="minorHAnsi" w:cstheme="minorHAnsi"/>
        </w:rPr>
        <w:t>Izvještaj o danim zajmovima i potraživanjima po danim zajmovima</w:t>
      </w:r>
    </w:p>
    <w:p w14:paraId="4ECBFCDE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04DA747F" w14:textId="0B5ECC30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U izvještajnom razdoblju Hrvatsko narodno kazalište u Šibeniku nije imalo danih zajmova pa samim time ni potraživanja za dane zajmove.</w:t>
      </w:r>
    </w:p>
    <w:p w14:paraId="4E69B081" w14:textId="77777777" w:rsidR="00C6118B" w:rsidRDefault="00C6118B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4BB3EA07" w14:textId="19CBF4E0" w:rsidR="00EF504C" w:rsidRPr="003E7E4E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3E7E4E">
        <w:rPr>
          <w:rFonts w:asciiTheme="minorHAnsi" w:hAnsiTheme="minorHAnsi" w:cstheme="minorHAnsi"/>
        </w:rPr>
        <w:t xml:space="preserve">IV.4. </w:t>
      </w:r>
      <w:r w:rsidR="003E7E4E" w:rsidRPr="003E7E4E">
        <w:rPr>
          <w:rFonts w:asciiTheme="minorHAnsi" w:hAnsiTheme="minorHAnsi" w:cstheme="minorHAnsi"/>
        </w:rPr>
        <w:t>Izvještaj o stanju potraživanja i dospjelih obveza te o stanju potencijalnih obveza po osnovi sudskih sporova</w:t>
      </w:r>
    </w:p>
    <w:p w14:paraId="2591DCD1" w14:textId="77777777" w:rsidR="00C6118B" w:rsidRDefault="00C6118B" w:rsidP="00C6118B">
      <w:pPr>
        <w:jc w:val="both"/>
        <w:rPr>
          <w:rFonts w:asciiTheme="minorHAnsi" w:hAnsiTheme="minorHAnsi" w:cstheme="minorHAnsi"/>
        </w:rPr>
      </w:pPr>
    </w:p>
    <w:p w14:paraId="1125EFE2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2CEF1D87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4EAE62AD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5BBB1F0F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7B0409F2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14E789C0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33B295BB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2577D08B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0CAFBD50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00D893F3" w14:textId="77777777" w:rsidR="00A455D9" w:rsidRDefault="00A455D9" w:rsidP="00C6118B">
      <w:pPr>
        <w:jc w:val="both"/>
        <w:rPr>
          <w:rFonts w:asciiTheme="minorHAnsi" w:hAnsiTheme="minorHAnsi" w:cstheme="minorHAnsi"/>
        </w:rPr>
      </w:pPr>
    </w:p>
    <w:p w14:paraId="5025E9BB" w14:textId="67753B2E" w:rsidR="00EF504C" w:rsidRPr="00C6118B" w:rsidRDefault="00EF504C" w:rsidP="00C6118B">
      <w:pPr>
        <w:jc w:val="both"/>
        <w:rPr>
          <w:rFonts w:asciiTheme="minorHAnsi" w:hAnsiTheme="minorHAnsi" w:cstheme="minorHAnsi"/>
          <w:u w:val="single"/>
        </w:rPr>
      </w:pPr>
      <w:r w:rsidRPr="00C6118B">
        <w:rPr>
          <w:rFonts w:asciiTheme="minorHAnsi" w:hAnsiTheme="minorHAnsi" w:cstheme="minorHAnsi"/>
          <w:u w:val="single"/>
        </w:rPr>
        <w:lastRenderedPageBreak/>
        <w:t>Podaci o stanju nenaplaćenih potraživanja za prihode Hrvatskog narodnog kazališta u Šibeniku</w:t>
      </w:r>
    </w:p>
    <w:p w14:paraId="3BC84409" w14:textId="77777777" w:rsidR="00A455D9" w:rsidRPr="00EF504C" w:rsidRDefault="00A455D9" w:rsidP="00EF504C">
      <w:pPr>
        <w:rPr>
          <w:rFonts w:asciiTheme="minorHAnsi" w:hAnsiTheme="minorHAnsi" w:cstheme="minorHAnsi"/>
        </w:rPr>
      </w:pPr>
    </w:p>
    <w:p w14:paraId="4C39CDDA" w14:textId="1FCDC189" w:rsidR="00EF504C" w:rsidRPr="00EF504C" w:rsidRDefault="00EF504C" w:rsidP="00EF504C">
      <w:pPr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Nenaplaćena potraživanja za prihode prikazana su u sljedećoj tablic</w:t>
      </w:r>
      <w:r w:rsidR="00C6118B">
        <w:rPr>
          <w:rFonts w:asciiTheme="minorHAnsi" w:hAnsiTheme="minorHAnsi" w:cstheme="minorHAnsi"/>
        </w:rPr>
        <w:t>i</w:t>
      </w:r>
      <w:r w:rsidRPr="00EF504C">
        <w:rPr>
          <w:rFonts w:asciiTheme="minorHAnsi" w:hAnsiTheme="minorHAnsi" w:cstheme="minorHAnsi"/>
        </w:rPr>
        <w:t>:</w:t>
      </w:r>
    </w:p>
    <w:p w14:paraId="609AF92A" w14:textId="77777777" w:rsidR="00EF504C" w:rsidRPr="00EF504C" w:rsidRDefault="00EF504C" w:rsidP="00EF504C">
      <w:pPr>
        <w:rPr>
          <w:rFonts w:asciiTheme="minorHAnsi" w:hAnsiTheme="minorHAnsi" w:cstheme="minorHAnsi"/>
        </w:rPr>
      </w:pPr>
    </w:p>
    <w:p w14:paraId="34559959" w14:textId="77777777" w:rsidR="00EF504C" w:rsidRPr="00EF504C" w:rsidRDefault="00EF504C" w:rsidP="00EF504C">
      <w:pPr>
        <w:rPr>
          <w:rFonts w:asciiTheme="minorHAnsi" w:hAnsiTheme="minorHAnsi" w:cstheme="minorHAnsi"/>
          <w:lang w:eastAsia="en-GB"/>
        </w:rPr>
      </w:pPr>
    </w:p>
    <w:tbl>
      <w:tblPr>
        <w:tblW w:w="9121" w:type="dxa"/>
        <w:tblLook w:val="04A0" w:firstRow="1" w:lastRow="0" w:firstColumn="1" w:lastColumn="0" w:noHBand="0" w:noVBand="1"/>
      </w:tblPr>
      <w:tblGrid>
        <w:gridCol w:w="923"/>
        <w:gridCol w:w="2125"/>
        <w:gridCol w:w="1188"/>
        <w:gridCol w:w="1211"/>
        <w:gridCol w:w="1483"/>
        <w:gridCol w:w="1262"/>
        <w:gridCol w:w="1534"/>
      </w:tblGrid>
      <w:tr w:rsidR="00EF504C" w:rsidRPr="00EF504C" w14:paraId="46B5DC99" w14:textId="77777777" w:rsidTr="001D7481">
        <w:trPr>
          <w:trHeight w:val="315"/>
        </w:trPr>
        <w:tc>
          <w:tcPr>
            <w:tcW w:w="9121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8CBAD"/>
            <w:noWrap/>
            <w:vAlign w:val="bottom"/>
            <w:hideMark/>
          </w:tcPr>
          <w:p w14:paraId="52E8C40C" w14:textId="22F639C4" w:rsidR="00EF504C" w:rsidRPr="00C6118B" w:rsidRDefault="00EF504C" w:rsidP="001D748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POTRAŽIVANJA ZA PRIHODE NA 30.06.202</w:t>
            </w:r>
            <w:r w:rsidR="0053732D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4</w:t>
            </w: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.</w:t>
            </w:r>
          </w:p>
        </w:tc>
      </w:tr>
      <w:tr w:rsidR="00EF504C" w:rsidRPr="00EF504C" w14:paraId="6FE14C6A" w14:textId="77777777" w:rsidTr="001D7481">
        <w:trPr>
          <w:trHeight w:val="900"/>
        </w:trPr>
        <w:tc>
          <w:tcPr>
            <w:tcW w:w="7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49DCA40F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RAČUN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308EC26B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NAZIV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FC55D15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190E326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DOSPJELO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2E66C74D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NEDOSPJELO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37F8AC0B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br/>
              <w:t>DOSPJELIH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E4D6"/>
            <w:vAlign w:val="center"/>
            <w:hideMark/>
          </w:tcPr>
          <w:p w14:paraId="59ECE385" w14:textId="77777777" w:rsidR="00EF504C" w:rsidRPr="00EF504C" w:rsidRDefault="00EF504C" w:rsidP="001D7481">
            <w:pPr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% NEDOSPJELIH</w:t>
            </w:r>
          </w:p>
        </w:tc>
      </w:tr>
      <w:tr w:rsidR="00EF504C" w:rsidRPr="00EF504C" w14:paraId="7834F607" w14:textId="77777777" w:rsidTr="001D7481">
        <w:trPr>
          <w:trHeight w:val="600"/>
        </w:trPr>
        <w:tc>
          <w:tcPr>
            <w:tcW w:w="7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D7C50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16526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D6E201" w14:textId="77777777" w:rsidR="00EF504C" w:rsidRPr="00EF504C" w:rsidRDefault="00EF504C" w:rsidP="001D7481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Ostali nespomenuti prihodi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0B25" w14:textId="61AC5F10" w:rsidR="00EF504C" w:rsidRPr="00EF504C" w:rsidRDefault="00E84FFD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38.890,00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D488E" w14:textId="5A93C902" w:rsidR="00EF504C" w:rsidRPr="00EF504C" w:rsidRDefault="00E84FFD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4.634,00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55FAF" w14:textId="64802EC4" w:rsidR="00EF504C" w:rsidRPr="00EF504C" w:rsidRDefault="00E84FFD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84FFD">
              <w:rPr>
                <w:rFonts w:asciiTheme="minorHAnsi" w:hAnsiTheme="minorHAnsi" w:cstheme="minorHAnsi"/>
                <w:color w:val="000000"/>
                <w:lang w:eastAsia="en-GB"/>
              </w:rPr>
              <w:t>34.256</w:t>
            </w:r>
            <w:r>
              <w:rPr>
                <w:rFonts w:asciiTheme="minorHAnsi" w:hAnsiTheme="minorHAnsi" w:cstheme="minorHAnsi"/>
                <w:color w:val="000000"/>
                <w:lang w:eastAsia="en-GB"/>
              </w:rPr>
              <w:t>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465DB" w14:textId="2F12814C" w:rsidR="00EF504C" w:rsidRPr="00EF504C" w:rsidRDefault="00E84FFD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11,92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2485FC" w14:textId="511D4AE2" w:rsidR="00EF504C" w:rsidRPr="00EF504C" w:rsidRDefault="00E84FFD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88,08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</w:tr>
      <w:tr w:rsidR="00EF504C" w:rsidRPr="00EF504C" w14:paraId="34798229" w14:textId="77777777" w:rsidTr="001D7481">
        <w:trPr>
          <w:trHeight w:val="600"/>
        </w:trPr>
        <w:tc>
          <w:tcPr>
            <w:tcW w:w="7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5073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16614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E0075" w14:textId="77777777" w:rsidR="00EF504C" w:rsidRPr="00EF504C" w:rsidRDefault="00EF504C" w:rsidP="001D7481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Potraživanje za prihode od prodaje proizvoda i robe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43036" w14:textId="560D3C53" w:rsidR="00EF504C" w:rsidRPr="00EF504C" w:rsidRDefault="00E84FFD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1,06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A9228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60331" w14:textId="28149205" w:rsidR="00EF504C" w:rsidRPr="00EF504C" w:rsidRDefault="00E84FFD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1,06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2F9D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E07871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100.00%</w:t>
            </w:r>
          </w:p>
        </w:tc>
      </w:tr>
      <w:tr w:rsidR="00EF504C" w:rsidRPr="00EF504C" w14:paraId="2F990EB7" w14:textId="77777777" w:rsidTr="001D7481">
        <w:trPr>
          <w:trHeight w:val="600"/>
        </w:trPr>
        <w:tc>
          <w:tcPr>
            <w:tcW w:w="789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2328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16615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87B37" w14:textId="77777777" w:rsidR="00EF504C" w:rsidRPr="00EF504C" w:rsidRDefault="00EF504C" w:rsidP="001D7481">
            <w:pPr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Potraživanje za prihode od pruženih usluga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BC3F8" w14:textId="25078B78" w:rsidR="00EF504C" w:rsidRPr="00EF504C" w:rsidRDefault="00E84FFD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28.497,63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9FCE0" w14:textId="53B776C1" w:rsidR="00EF504C" w:rsidRPr="00EF504C" w:rsidRDefault="00E84FFD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7.704,63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6F9E9" w14:textId="32AB04F5" w:rsidR="00EF504C" w:rsidRPr="00EF504C" w:rsidRDefault="00E84FFD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20.793,00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45FF" w14:textId="4CB607C5" w:rsidR="00EF504C" w:rsidRPr="00EF504C" w:rsidRDefault="0043653A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27,03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D102646" w14:textId="720C3094" w:rsidR="00EF504C" w:rsidRPr="00EF504C" w:rsidRDefault="0043653A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72,97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</w:tr>
      <w:tr w:rsidR="00EF504C" w:rsidRPr="00EF504C" w14:paraId="4E9F08FE" w14:textId="77777777" w:rsidTr="001D7481">
        <w:trPr>
          <w:trHeight w:val="315"/>
        </w:trPr>
        <w:tc>
          <w:tcPr>
            <w:tcW w:w="2914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660AB" w14:textId="77777777" w:rsidR="00EF504C" w:rsidRPr="00EF504C" w:rsidRDefault="00EF504C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07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73FF6" w14:textId="20B2E671" w:rsidR="00EF504C" w:rsidRPr="00EF504C" w:rsidRDefault="0043653A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43653A">
              <w:rPr>
                <w:rFonts w:asciiTheme="minorHAnsi" w:hAnsiTheme="minorHAnsi" w:cstheme="minorHAnsi"/>
                <w:color w:val="000000"/>
                <w:lang w:eastAsia="en-GB"/>
              </w:rPr>
              <w:t>67.388,69</w:t>
            </w:r>
          </w:p>
        </w:tc>
        <w:tc>
          <w:tcPr>
            <w:tcW w:w="109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D90E9" w14:textId="025B1A21" w:rsidR="00EF504C" w:rsidRPr="00EF504C" w:rsidRDefault="0043653A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43653A">
              <w:rPr>
                <w:rFonts w:asciiTheme="minorHAnsi" w:hAnsiTheme="minorHAnsi" w:cstheme="minorHAnsi"/>
                <w:color w:val="000000"/>
                <w:lang w:eastAsia="en-GB"/>
              </w:rPr>
              <w:t>12.338,63</w:t>
            </w:r>
          </w:p>
        </w:tc>
        <w:tc>
          <w:tcPr>
            <w:tcW w:w="13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44F7" w14:textId="7CE1D92A" w:rsidR="00EF504C" w:rsidRPr="00EF504C" w:rsidRDefault="0043653A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43653A">
              <w:rPr>
                <w:rFonts w:asciiTheme="minorHAnsi" w:hAnsiTheme="minorHAnsi" w:cstheme="minorHAnsi"/>
                <w:color w:val="000000"/>
                <w:lang w:eastAsia="en-GB"/>
              </w:rPr>
              <w:t>55.050,06</w:t>
            </w:r>
          </w:p>
        </w:tc>
        <w:tc>
          <w:tcPr>
            <w:tcW w:w="121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B7732" w14:textId="0987BC4C" w:rsidR="00EF504C" w:rsidRPr="00EF504C" w:rsidRDefault="0043653A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18,31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  <w:tc>
          <w:tcPr>
            <w:tcW w:w="14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1888D3B" w14:textId="79FEBE0F" w:rsidR="00EF504C" w:rsidRPr="00EF504C" w:rsidRDefault="0043653A" w:rsidP="001D7481">
            <w:pPr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81,69</w:t>
            </w:r>
            <w:r w:rsidR="00EF504C" w:rsidRPr="00EF504C">
              <w:rPr>
                <w:rFonts w:asciiTheme="minorHAnsi" w:hAnsiTheme="minorHAnsi" w:cstheme="minorHAnsi"/>
                <w:color w:val="000000"/>
                <w:lang w:eastAsia="en-GB"/>
              </w:rPr>
              <w:t>%</w:t>
            </w:r>
          </w:p>
        </w:tc>
      </w:tr>
    </w:tbl>
    <w:p w14:paraId="4628DC14" w14:textId="77777777" w:rsidR="00EF504C" w:rsidRPr="00EF504C" w:rsidRDefault="00EF504C" w:rsidP="00EF504C">
      <w:pPr>
        <w:rPr>
          <w:rFonts w:asciiTheme="minorHAnsi" w:hAnsiTheme="minorHAnsi" w:cstheme="minorHAnsi"/>
        </w:rPr>
      </w:pPr>
    </w:p>
    <w:p w14:paraId="7702E92C" w14:textId="77777777" w:rsidR="00C6118B" w:rsidRDefault="00C6118B" w:rsidP="00EF504C">
      <w:pPr>
        <w:rPr>
          <w:rFonts w:asciiTheme="minorHAnsi" w:hAnsiTheme="minorHAnsi" w:cstheme="minorHAnsi"/>
        </w:rPr>
      </w:pPr>
    </w:p>
    <w:p w14:paraId="288FC302" w14:textId="2D06C010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Ostali nespomenuti prihodi uključuju potraživanja za gostovanja HNK u drugim kazalištima te potraživanja od posrednika za prodaju ulaznica preko interneta.</w:t>
      </w:r>
    </w:p>
    <w:p w14:paraId="03F5855D" w14:textId="77777777" w:rsidR="00A455D9" w:rsidRDefault="00A455D9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2E38F21A" w14:textId="0FB0929F" w:rsid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Potraživanja za prihode od prodaje proizvoda i robe uključuju potraživanje za prodaju suvenira i knjiga, a odnose se na potraživanje od posrednika za prodaju suvenira preko interneta.</w:t>
      </w:r>
    </w:p>
    <w:p w14:paraId="59C8FF75" w14:textId="77777777" w:rsidR="003E7E4E" w:rsidRPr="00EF504C" w:rsidRDefault="003E7E4E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59ACA922" w14:textId="1B316FCA" w:rsid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Potraživanje za prihode od pruženih usluga odnose se na potraživanja za račune dramskih radionica, dramskog studija, zbora, potom najmove kazališne dvorane te u velikoj većini za sponzorstva 6</w:t>
      </w:r>
      <w:r w:rsidR="00ED17E9">
        <w:rPr>
          <w:rFonts w:asciiTheme="minorHAnsi" w:hAnsiTheme="minorHAnsi" w:cstheme="minorHAnsi"/>
        </w:rPr>
        <w:t>4</w:t>
      </w:r>
      <w:r w:rsidRPr="00EF504C">
        <w:rPr>
          <w:rFonts w:asciiTheme="minorHAnsi" w:hAnsiTheme="minorHAnsi" w:cstheme="minorHAnsi"/>
        </w:rPr>
        <w:t>. MDF Šibenik Hrvatska.</w:t>
      </w:r>
    </w:p>
    <w:p w14:paraId="1D5DE026" w14:textId="77777777" w:rsidR="003E7E4E" w:rsidRPr="00EF504C" w:rsidRDefault="003E7E4E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4FE16773" w14:textId="543F7135" w:rsidR="00EF504C" w:rsidRPr="00EF504C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 xml:space="preserve">Prema strukturi dospjelosti vidljivo je da je </w:t>
      </w:r>
      <w:r w:rsidR="0043653A">
        <w:rPr>
          <w:rFonts w:asciiTheme="minorHAnsi" w:hAnsiTheme="minorHAnsi" w:cstheme="minorHAnsi"/>
        </w:rPr>
        <w:t>81,69</w:t>
      </w:r>
      <w:r w:rsidRPr="00EF504C">
        <w:rPr>
          <w:rFonts w:asciiTheme="minorHAnsi" w:hAnsiTheme="minorHAnsi" w:cstheme="minorHAnsi"/>
        </w:rPr>
        <w:t xml:space="preserve">% nedospjelih potraživanja, a </w:t>
      </w:r>
      <w:r w:rsidR="0043653A">
        <w:rPr>
          <w:rFonts w:asciiTheme="minorHAnsi" w:hAnsiTheme="minorHAnsi" w:cstheme="minorHAnsi"/>
        </w:rPr>
        <w:t>18,31</w:t>
      </w:r>
      <w:r w:rsidRPr="00EF504C">
        <w:rPr>
          <w:rFonts w:asciiTheme="minorHAnsi" w:hAnsiTheme="minorHAnsi" w:cstheme="minorHAnsi"/>
        </w:rPr>
        <w:t>% dospjelih na dan 30.6.202</w:t>
      </w:r>
      <w:r w:rsidR="0053732D">
        <w:rPr>
          <w:rFonts w:asciiTheme="minorHAnsi" w:hAnsiTheme="minorHAnsi" w:cstheme="minorHAnsi"/>
        </w:rPr>
        <w:t>4</w:t>
      </w:r>
      <w:r w:rsidRPr="00EF504C">
        <w:rPr>
          <w:rFonts w:asciiTheme="minorHAnsi" w:hAnsiTheme="minorHAnsi" w:cstheme="minorHAnsi"/>
        </w:rPr>
        <w:t>.</w:t>
      </w:r>
    </w:p>
    <w:p w14:paraId="154A8869" w14:textId="77777777" w:rsidR="00EF504C" w:rsidRPr="00EF504C" w:rsidRDefault="00EF504C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675FF19E" w14:textId="77777777" w:rsidR="00EF504C" w:rsidRDefault="00EF504C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5E67D432" w14:textId="77777777" w:rsidR="00A455D9" w:rsidRDefault="00A455D9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6E69EBE8" w14:textId="77777777" w:rsidR="00A455D9" w:rsidRDefault="00A455D9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4796C7B2" w14:textId="77777777" w:rsidR="00A455D9" w:rsidRDefault="00A455D9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726B9F8D" w14:textId="77777777" w:rsidR="00F36D38" w:rsidRDefault="00F36D38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7429F8CF" w14:textId="77777777" w:rsidR="00E44BEA" w:rsidRDefault="00E44BEA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01653D7F" w14:textId="77777777" w:rsidR="00DB7032" w:rsidRDefault="00DB7032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05BC63A9" w14:textId="77777777" w:rsidR="00DB7032" w:rsidRDefault="00DB7032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0E8E8503" w14:textId="77777777" w:rsidR="00DB7032" w:rsidRPr="00EF504C" w:rsidRDefault="00DB7032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66C5338E" w14:textId="12303010" w:rsidR="00EF504C" w:rsidRPr="00C6118B" w:rsidRDefault="00EF504C" w:rsidP="00762606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C6118B">
        <w:rPr>
          <w:rFonts w:asciiTheme="minorHAnsi" w:hAnsiTheme="minorHAnsi" w:cstheme="minorHAnsi"/>
          <w:u w:val="single"/>
        </w:rPr>
        <w:lastRenderedPageBreak/>
        <w:t>Podaci o stanju nepodmirenih dospjelih obveza Hrvatskog narodnog kazališta u Šibeniku</w:t>
      </w:r>
    </w:p>
    <w:p w14:paraId="3657C3C6" w14:textId="77777777" w:rsidR="00EF504C" w:rsidRPr="00EF504C" w:rsidRDefault="00EF504C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5FFE6010" w14:textId="4B0C6D98" w:rsidR="00EF504C" w:rsidRPr="00EF504C" w:rsidRDefault="00EF504C" w:rsidP="00762606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>Stanje nepodmirenih dospjelih obveza na dan 30.6.202</w:t>
      </w:r>
      <w:r w:rsidR="0053732D">
        <w:rPr>
          <w:rFonts w:asciiTheme="minorHAnsi" w:hAnsiTheme="minorHAnsi" w:cstheme="minorHAnsi"/>
        </w:rPr>
        <w:t>4</w:t>
      </w:r>
      <w:r w:rsidRPr="00EF504C">
        <w:rPr>
          <w:rFonts w:asciiTheme="minorHAnsi" w:hAnsiTheme="minorHAnsi" w:cstheme="minorHAnsi"/>
        </w:rPr>
        <w:t>. godini prikazano je u tablici:</w:t>
      </w:r>
    </w:p>
    <w:p w14:paraId="3CB83D8C" w14:textId="77777777" w:rsidR="00EF504C" w:rsidRPr="00EF504C" w:rsidRDefault="00EF504C" w:rsidP="00762606">
      <w:pPr>
        <w:spacing w:line="276" w:lineRule="auto"/>
        <w:rPr>
          <w:rFonts w:asciiTheme="minorHAnsi" w:hAnsiTheme="minorHAnsi" w:cstheme="minorHAnsi"/>
        </w:rPr>
      </w:pPr>
    </w:p>
    <w:tbl>
      <w:tblPr>
        <w:tblW w:w="9228" w:type="dxa"/>
        <w:tblLook w:val="04A0" w:firstRow="1" w:lastRow="0" w:firstColumn="1" w:lastColumn="0" w:noHBand="0" w:noVBand="1"/>
      </w:tblPr>
      <w:tblGrid>
        <w:gridCol w:w="923"/>
        <w:gridCol w:w="2146"/>
        <w:gridCol w:w="1261"/>
        <w:gridCol w:w="1285"/>
        <w:gridCol w:w="1333"/>
        <w:gridCol w:w="1146"/>
        <w:gridCol w:w="1134"/>
      </w:tblGrid>
      <w:tr w:rsidR="00EF504C" w:rsidRPr="00EF504C" w14:paraId="321BBC5F" w14:textId="77777777" w:rsidTr="00801A70">
        <w:trPr>
          <w:trHeight w:val="315"/>
        </w:trPr>
        <w:tc>
          <w:tcPr>
            <w:tcW w:w="9228" w:type="dxa"/>
            <w:gridSpan w:val="7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8CBAD"/>
            <w:noWrap/>
            <w:vAlign w:val="center"/>
            <w:hideMark/>
          </w:tcPr>
          <w:p w14:paraId="031E07BE" w14:textId="7CED3413" w:rsidR="00EF504C" w:rsidRPr="00C6118B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STANJE DOSPJELIH OBVEZA NA 30.06.202</w:t>
            </w:r>
            <w:r w:rsidR="0053732D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4</w:t>
            </w: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.</w:t>
            </w:r>
          </w:p>
        </w:tc>
      </w:tr>
      <w:tr w:rsidR="00EF504C" w:rsidRPr="00EF504C" w14:paraId="31AC371C" w14:textId="77777777" w:rsidTr="00801A70">
        <w:trPr>
          <w:trHeight w:val="6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6D1652C4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RAČUN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noWrap/>
            <w:vAlign w:val="center"/>
            <w:hideMark/>
          </w:tcPr>
          <w:p w14:paraId="0C721A46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NAZIV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066A6A8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UKUPNO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4D14297C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1 DO 60 DANA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19886B91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OD 61 DO 180 DANA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14:paraId="21935446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OD 181 DO 360 DANA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CE4D6"/>
            <w:vAlign w:val="center"/>
            <w:hideMark/>
          </w:tcPr>
          <w:p w14:paraId="2C14B68E" w14:textId="77777777" w:rsidR="00EF504C" w:rsidRPr="00EF504C" w:rsidRDefault="00EF504C" w:rsidP="00762606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PREKO 360 DANA</w:t>
            </w:r>
          </w:p>
        </w:tc>
      </w:tr>
      <w:tr w:rsidR="00EF504C" w:rsidRPr="00EF504C" w14:paraId="1EC66675" w14:textId="77777777" w:rsidTr="00F36D38">
        <w:trPr>
          <w:trHeight w:val="78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F8A0" w14:textId="77777777" w:rsidR="00EF504C" w:rsidRPr="00EF504C" w:rsidRDefault="00EF504C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232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E898" w14:textId="77777777" w:rsidR="00EF504C" w:rsidRPr="00EF504C" w:rsidRDefault="00EF504C" w:rsidP="0076260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Obveze za materijalne rashode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DA39" w14:textId="45206F66" w:rsidR="00EF504C" w:rsidRPr="00EF504C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41.488,86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B8FB9" w14:textId="732602F3" w:rsidR="00EF504C" w:rsidRPr="00EF504C" w:rsidRDefault="009F08D1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30.363,72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5B64D" w14:textId="106C7ADB" w:rsidR="00EF504C" w:rsidRPr="00EF504C" w:rsidRDefault="009F08D1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1.170,52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78D1" w14:textId="720AD87F" w:rsidR="00EF504C" w:rsidRPr="00EF504C" w:rsidRDefault="009F08D1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7.638,07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45AE9C1" w14:textId="43117D1C" w:rsidR="00EF504C" w:rsidRPr="00EF504C" w:rsidRDefault="009F08D1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2.316,55</w:t>
            </w:r>
          </w:p>
        </w:tc>
      </w:tr>
      <w:tr w:rsidR="00EF504C" w:rsidRPr="00EF504C" w14:paraId="38200C02" w14:textId="77777777" w:rsidTr="00801A70">
        <w:trPr>
          <w:trHeight w:val="6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56C13" w14:textId="77777777" w:rsidR="00EF504C" w:rsidRPr="00EF504C" w:rsidRDefault="00EF504C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234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FD903" w14:textId="77777777" w:rsidR="00EF504C" w:rsidRPr="00EF504C" w:rsidRDefault="00EF504C" w:rsidP="0076260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Obveze za financijske rashode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2633" w14:textId="29AB4728" w:rsidR="00EF504C" w:rsidRPr="00801A70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2,26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751C3" w14:textId="435FD3D1" w:rsidR="00EF504C" w:rsidRPr="00801A70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2,26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87A82" w14:textId="0C14811F" w:rsidR="00EF504C" w:rsidRPr="00801A70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B0CF" w14:textId="508A0864" w:rsidR="00EF504C" w:rsidRPr="00801A70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18BB80A" w14:textId="1E7DF081" w:rsidR="00EF504C" w:rsidRPr="00801A70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0.00</w:t>
            </w:r>
          </w:p>
        </w:tc>
      </w:tr>
      <w:tr w:rsidR="00EF504C" w:rsidRPr="00EF504C" w14:paraId="28A8269C" w14:textId="77777777" w:rsidTr="00801A70">
        <w:trPr>
          <w:trHeight w:val="300"/>
        </w:trPr>
        <w:tc>
          <w:tcPr>
            <w:tcW w:w="923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814B" w14:textId="77777777" w:rsidR="00EF504C" w:rsidRPr="00EF504C" w:rsidRDefault="00EF504C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239</w:t>
            </w:r>
          </w:p>
        </w:tc>
        <w:tc>
          <w:tcPr>
            <w:tcW w:w="2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1E88D" w14:textId="77777777" w:rsidR="00EF504C" w:rsidRPr="00EF504C" w:rsidRDefault="00EF504C" w:rsidP="00762606">
            <w:pPr>
              <w:spacing w:line="276" w:lineRule="auto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EF504C">
              <w:rPr>
                <w:rFonts w:asciiTheme="minorHAnsi" w:hAnsiTheme="minorHAnsi" w:cstheme="minorHAnsi"/>
                <w:color w:val="000000"/>
                <w:lang w:eastAsia="en-GB"/>
              </w:rPr>
              <w:t>Ostale tekuće obveze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1595" w14:textId="6BE53E66" w:rsidR="00EF504C" w:rsidRPr="00EF504C" w:rsidRDefault="009F08D1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22.146,38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FBCFC" w14:textId="4CEE53D7" w:rsidR="00EF504C" w:rsidRPr="00EF504C" w:rsidRDefault="009F08D1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18.265,98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F0CD" w14:textId="5A31CDF6" w:rsidR="00EF504C" w:rsidRPr="00EF504C" w:rsidRDefault="009F08D1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165,24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DFD6" w14:textId="5497B3FB" w:rsidR="00EF504C" w:rsidRPr="00EF504C" w:rsidRDefault="009F08D1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19,91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6BAD5C7" w14:textId="5A6CA263" w:rsidR="00EF504C" w:rsidRPr="00EF504C" w:rsidRDefault="009F08D1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>
              <w:rPr>
                <w:rFonts w:asciiTheme="minorHAnsi" w:hAnsiTheme="minorHAnsi" w:cstheme="minorHAnsi"/>
                <w:color w:val="000000"/>
                <w:lang w:eastAsia="en-GB"/>
              </w:rPr>
              <w:t>3.695,25</w:t>
            </w:r>
          </w:p>
        </w:tc>
      </w:tr>
      <w:tr w:rsidR="00EF504C" w:rsidRPr="00EF504C" w14:paraId="483AB947" w14:textId="77777777" w:rsidTr="00801A70">
        <w:trPr>
          <w:trHeight w:val="315"/>
        </w:trPr>
        <w:tc>
          <w:tcPr>
            <w:tcW w:w="3069" w:type="dxa"/>
            <w:gridSpan w:val="2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7FEA" w14:textId="77777777" w:rsidR="00EF504C" w:rsidRPr="00C6118B" w:rsidRDefault="00EF504C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</w:pPr>
            <w:r w:rsidRPr="00C6118B">
              <w:rPr>
                <w:rFonts w:asciiTheme="minorHAnsi" w:hAnsiTheme="minorHAnsi" w:cstheme="minorHAnsi"/>
                <w:b/>
                <w:bCs/>
                <w:color w:val="000000"/>
                <w:lang w:eastAsia="en-GB"/>
              </w:rPr>
              <w:t>UKUPNO</w:t>
            </w:r>
          </w:p>
        </w:tc>
        <w:tc>
          <w:tcPr>
            <w:tcW w:w="1261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29DF" w14:textId="25602ACF" w:rsidR="00EF504C" w:rsidRPr="00EF504C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63.637,5</w:t>
            </w:r>
            <w:r>
              <w:rPr>
                <w:rFonts w:asciiTheme="minorHAnsi" w:hAnsiTheme="minorHAnsi" w:cstheme="minorHAnsi"/>
                <w:color w:val="000000"/>
                <w:lang w:eastAsia="en-GB"/>
              </w:rPr>
              <w:t>0</w:t>
            </w:r>
          </w:p>
        </w:tc>
        <w:tc>
          <w:tcPr>
            <w:tcW w:w="128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1F36" w14:textId="074D5F25" w:rsidR="00EF504C" w:rsidRPr="00EF504C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48.631,96</w:t>
            </w:r>
          </w:p>
        </w:tc>
        <w:tc>
          <w:tcPr>
            <w:tcW w:w="133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343C" w14:textId="6E8BC4E0" w:rsidR="00EF504C" w:rsidRPr="00EF504C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1.335,76</w:t>
            </w:r>
          </w:p>
        </w:tc>
        <w:tc>
          <w:tcPr>
            <w:tcW w:w="114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F9E91" w14:textId="0A34D3A0" w:rsidR="00EF504C" w:rsidRPr="00EF504C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7.657,98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0C62E012" w14:textId="3CDC1D19" w:rsidR="00EF504C" w:rsidRPr="00EF504C" w:rsidRDefault="00801A70" w:rsidP="00762606">
            <w:pPr>
              <w:spacing w:line="276" w:lineRule="auto"/>
              <w:jc w:val="right"/>
              <w:rPr>
                <w:rFonts w:asciiTheme="minorHAnsi" w:hAnsiTheme="minorHAnsi" w:cstheme="minorHAnsi"/>
                <w:color w:val="000000"/>
                <w:lang w:eastAsia="en-GB"/>
              </w:rPr>
            </w:pPr>
            <w:r w:rsidRPr="00801A70">
              <w:rPr>
                <w:rFonts w:asciiTheme="minorHAnsi" w:hAnsiTheme="minorHAnsi" w:cstheme="minorHAnsi"/>
                <w:color w:val="000000"/>
                <w:lang w:eastAsia="en-GB"/>
              </w:rPr>
              <w:t>6.011,8</w:t>
            </w:r>
            <w:r>
              <w:rPr>
                <w:rFonts w:asciiTheme="minorHAnsi" w:hAnsiTheme="minorHAnsi" w:cstheme="minorHAnsi"/>
                <w:color w:val="000000"/>
                <w:lang w:eastAsia="en-GB"/>
              </w:rPr>
              <w:t>0</w:t>
            </w:r>
          </w:p>
        </w:tc>
      </w:tr>
    </w:tbl>
    <w:p w14:paraId="0FE2AF1D" w14:textId="77777777" w:rsidR="00EF504C" w:rsidRPr="00EF504C" w:rsidRDefault="00EF504C" w:rsidP="00762606">
      <w:pPr>
        <w:spacing w:line="276" w:lineRule="auto"/>
        <w:rPr>
          <w:rFonts w:asciiTheme="minorHAnsi" w:hAnsiTheme="minorHAnsi" w:cstheme="minorHAnsi"/>
        </w:rPr>
      </w:pPr>
    </w:p>
    <w:p w14:paraId="13C094CA" w14:textId="76A5F2E9" w:rsidR="00C6118B" w:rsidRDefault="00C6118B" w:rsidP="00762606">
      <w:pPr>
        <w:spacing w:line="276" w:lineRule="auto"/>
        <w:jc w:val="both"/>
        <w:rPr>
          <w:rFonts w:asciiTheme="minorHAnsi" w:hAnsiTheme="minorHAnsi" w:cstheme="minorHAnsi"/>
        </w:rPr>
      </w:pPr>
    </w:p>
    <w:p w14:paraId="025030E6" w14:textId="7C95DDB6" w:rsidR="006C4BC9" w:rsidRDefault="00EF504C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 xml:space="preserve">U strukturi dospjelih obveza dominiraju obveze za materijalne rashode, koje čine ukupno </w:t>
      </w:r>
      <w:r w:rsidR="00801A70">
        <w:rPr>
          <w:rFonts w:asciiTheme="minorHAnsi" w:hAnsiTheme="minorHAnsi" w:cstheme="minorHAnsi"/>
        </w:rPr>
        <w:t>65,20</w:t>
      </w:r>
      <w:r w:rsidRPr="00EF504C">
        <w:rPr>
          <w:rFonts w:asciiTheme="minorHAnsi" w:hAnsiTheme="minorHAnsi" w:cstheme="minorHAnsi"/>
        </w:rPr>
        <w:t>% dospjelih obveza. U strukturi prekoračenja dominiraju dospjele obveze s dospijećem do 60 dana na koje se odnosi 7</w:t>
      </w:r>
      <w:r w:rsidR="00801A70">
        <w:rPr>
          <w:rFonts w:asciiTheme="minorHAnsi" w:hAnsiTheme="minorHAnsi" w:cstheme="minorHAnsi"/>
        </w:rPr>
        <w:t>6,42</w:t>
      </w:r>
      <w:r w:rsidRPr="00EF504C">
        <w:rPr>
          <w:rFonts w:asciiTheme="minorHAnsi" w:hAnsiTheme="minorHAnsi" w:cstheme="minorHAnsi"/>
        </w:rPr>
        <w:t>% kašnjenja u podmirenju obveza.</w:t>
      </w:r>
    </w:p>
    <w:p w14:paraId="51A7802E" w14:textId="21ED50C2" w:rsidR="006C4BC9" w:rsidRDefault="006C4BC9" w:rsidP="00E44BEA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166DF3C6" w14:textId="77777777" w:rsidR="008E03CD" w:rsidRDefault="008E03CD" w:rsidP="00E44BEA">
      <w:pPr>
        <w:spacing w:line="276" w:lineRule="auto"/>
        <w:jc w:val="both"/>
        <w:rPr>
          <w:rFonts w:asciiTheme="minorHAnsi" w:hAnsiTheme="minorHAnsi" w:cstheme="minorHAnsi"/>
        </w:rPr>
      </w:pPr>
    </w:p>
    <w:p w14:paraId="79AC8F3B" w14:textId="08F822BA" w:rsidR="00EF504C" w:rsidRPr="00C6118B" w:rsidRDefault="00EF504C" w:rsidP="00E44BEA">
      <w:pPr>
        <w:spacing w:line="276" w:lineRule="auto"/>
        <w:jc w:val="both"/>
        <w:rPr>
          <w:rFonts w:asciiTheme="minorHAnsi" w:hAnsiTheme="minorHAnsi" w:cstheme="minorHAnsi"/>
          <w:u w:val="single"/>
        </w:rPr>
      </w:pPr>
      <w:r w:rsidRPr="00C6118B">
        <w:rPr>
          <w:rFonts w:asciiTheme="minorHAnsi" w:hAnsiTheme="minorHAnsi" w:cstheme="minorHAnsi"/>
          <w:u w:val="single"/>
        </w:rPr>
        <w:t>Podaci o stanju potencijalnih obveza po osnovi sudskih sporova Hrvatskog narodnog kazališta u Šibeniku</w:t>
      </w:r>
    </w:p>
    <w:p w14:paraId="51C6D599" w14:textId="77777777" w:rsidR="00C6118B" w:rsidRDefault="00C6118B" w:rsidP="00E44BEA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4933EDBB" w14:textId="39C904EC" w:rsidR="00061CCF" w:rsidRPr="00EF504C" w:rsidRDefault="00061CCF" w:rsidP="00E44BEA">
      <w:pPr>
        <w:spacing w:line="276" w:lineRule="auto"/>
        <w:jc w:val="both"/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 xml:space="preserve">U izvještajnom razdoblju Hrvatsko narodno kazalište u Šibeniku nije imalo </w:t>
      </w:r>
      <w:r>
        <w:rPr>
          <w:rFonts w:asciiTheme="minorHAnsi" w:hAnsiTheme="minorHAnsi" w:cstheme="minorHAnsi"/>
        </w:rPr>
        <w:t>sudskih sporova</w:t>
      </w:r>
      <w:r w:rsidRPr="00EF504C">
        <w:rPr>
          <w:rFonts w:asciiTheme="minorHAnsi" w:hAnsiTheme="minorHAnsi" w:cstheme="minorHAnsi"/>
        </w:rPr>
        <w:t xml:space="preserve"> pa samim time ni</w:t>
      </w:r>
      <w:r>
        <w:rPr>
          <w:rFonts w:asciiTheme="minorHAnsi" w:hAnsiTheme="minorHAnsi" w:cstheme="minorHAnsi"/>
        </w:rPr>
        <w:t xml:space="preserve"> potencijalnih obveza po osnovi sudskih sporova</w:t>
      </w:r>
      <w:r w:rsidRPr="00EF504C">
        <w:rPr>
          <w:rFonts w:asciiTheme="minorHAnsi" w:hAnsiTheme="minorHAnsi" w:cstheme="minorHAnsi"/>
        </w:rPr>
        <w:t>.</w:t>
      </w:r>
    </w:p>
    <w:p w14:paraId="19695276" w14:textId="788D34E2" w:rsidR="00D41EE3" w:rsidRDefault="00D41EE3" w:rsidP="00E44BEA">
      <w:pPr>
        <w:spacing w:line="276" w:lineRule="auto"/>
        <w:rPr>
          <w:rFonts w:asciiTheme="minorHAnsi" w:hAnsiTheme="minorHAnsi" w:cstheme="minorHAnsi"/>
        </w:rPr>
      </w:pPr>
    </w:p>
    <w:p w14:paraId="48C4930F" w14:textId="77777777" w:rsidR="00F441D6" w:rsidRPr="00EF504C" w:rsidRDefault="00F441D6" w:rsidP="00E44BEA">
      <w:pPr>
        <w:spacing w:line="276" w:lineRule="auto"/>
        <w:rPr>
          <w:rFonts w:asciiTheme="minorHAnsi" w:hAnsiTheme="minorHAnsi" w:cstheme="minorHAnsi"/>
        </w:rPr>
      </w:pPr>
    </w:p>
    <w:p w14:paraId="5C32AEE5" w14:textId="1F6C7D81" w:rsidR="00D41EE3" w:rsidRPr="00EF504C" w:rsidRDefault="00D41EE3" w:rsidP="00D41EE3">
      <w:pPr>
        <w:rPr>
          <w:rFonts w:asciiTheme="minorHAnsi" w:hAnsiTheme="minorHAnsi" w:cstheme="minorHAnsi"/>
        </w:rPr>
      </w:pPr>
    </w:p>
    <w:p w14:paraId="20179070" w14:textId="430CD29B" w:rsidR="00D41EE3" w:rsidRPr="00EF504C" w:rsidRDefault="00D41EE3" w:rsidP="00D41EE3">
      <w:pPr>
        <w:rPr>
          <w:rFonts w:asciiTheme="minorHAnsi" w:hAnsiTheme="minorHAnsi" w:cstheme="minorHAnsi"/>
        </w:rPr>
      </w:pPr>
    </w:p>
    <w:p w14:paraId="34BE004B" w14:textId="77777777" w:rsidR="00312FFA" w:rsidRPr="00EF504C" w:rsidRDefault="00312FFA" w:rsidP="00312FFA">
      <w:pPr>
        <w:spacing w:line="276" w:lineRule="auto"/>
        <w:ind w:left="4956" w:firstLine="708"/>
        <w:jc w:val="both"/>
        <w:rPr>
          <w:rFonts w:asciiTheme="minorHAnsi" w:hAnsiTheme="minorHAnsi" w:cstheme="minorHAnsi"/>
          <w:b/>
        </w:rPr>
      </w:pPr>
      <w:r w:rsidRPr="00EF504C">
        <w:rPr>
          <w:rFonts w:asciiTheme="minorHAnsi" w:hAnsiTheme="minorHAnsi" w:cstheme="minorHAnsi"/>
          <w:b/>
        </w:rPr>
        <w:t>Ravnatelj HNK u Šibeniku</w:t>
      </w:r>
    </w:p>
    <w:p w14:paraId="781E02B4" w14:textId="5C6255F8" w:rsidR="00312FFA" w:rsidRPr="00EF504C" w:rsidRDefault="00312FFA" w:rsidP="00312FFA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</w:r>
      <w:r w:rsidRPr="00EF504C">
        <w:rPr>
          <w:rFonts w:asciiTheme="minorHAnsi" w:hAnsiTheme="minorHAnsi" w:cstheme="minorHAnsi"/>
          <w:b/>
        </w:rPr>
        <w:tab/>
        <w:t xml:space="preserve">     Jakov Bilić, mag.art.</w:t>
      </w:r>
    </w:p>
    <w:p w14:paraId="325A9BD8" w14:textId="77777777" w:rsidR="00312FFA" w:rsidRPr="00EF504C" w:rsidRDefault="00312FFA" w:rsidP="00312FFA">
      <w:pPr>
        <w:spacing w:line="276" w:lineRule="auto"/>
        <w:jc w:val="both"/>
        <w:rPr>
          <w:rFonts w:asciiTheme="minorHAnsi" w:hAnsiTheme="minorHAnsi" w:cstheme="minorHAnsi"/>
          <w:b/>
          <w:color w:val="FF0000"/>
        </w:rPr>
      </w:pPr>
    </w:p>
    <w:p w14:paraId="5DF86DCE" w14:textId="6F9AF627" w:rsidR="00D41EE3" w:rsidRDefault="00FE22D6" w:rsidP="00D41E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Klasa: 400-01/24-02/1</w:t>
      </w:r>
    </w:p>
    <w:p w14:paraId="4B55F9FC" w14:textId="062F2627" w:rsidR="00FE22D6" w:rsidRPr="00EF504C" w:rsidRDefault="00FE22D6" w:rsidP="00D41EE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Urbroj: 2182-54-24-1</w:t>
      </w:r>
    </w:p>
    <w:p w14:paraId="565C88E7" w14:textId="36FCDBB6" w:rsidR="00D41EE3" w:rsidRPr="00EF504C" w:rsidRDefault="00D41EE3" w:rsidP="00D41EE3">
      <w:pPr>
        <w:rPr>
          <w:rFonts w:asciiTheme="minorHAnsi" w:hAnsiTheme="minorHAnsi" w:cstheme="minorHAnsi"/>
        </w:rPr>
      </w:pPr>
    </w:p>
    <w:p w14:paraId="1D85AE22" w14:textId="0A99D041" w:rsidR="00D41EE3" w:rsidRPr="00EF504C" w:rsidRDefault="0028560A" w:rsidP="00D41EE3">
      <w:pPr>
        <w:rPr>
          <w:rFonts w:asciiTheme="minorHAnsi" w:hAnsiTheme="minorHAnsi" w:cstheme="minorHAnsi"/>
        </w:rPr>
      </w:pPr>
      <w:r w:rsidRPr="00EF504C">
        <w:rPr>
          <w:rFonts w:asciiTheme="minorHAnsi" w:hAnsiTheme="minorHAnsi" w:cstheme="minorHAnsi"/>
        </w:rPr>
        <w:t xml:space="preserve">Šibenik, </w:t>
      </w:r>
      <w:r w:rsidR="0053732D">
        <w:rPr>
          <w:rFonts w:asciiTheme="minorHAnsi" w:hAnsiTheme="minorHAnsi" w:cstheme="minorHAnsi"/>
        </w:rPr>
        <w:t>29</w:t>
      </w:r>
      <w:r w:rsidRPr="00EF504C">
        <w:rPr>
          <w:rFonts w:asciiTheme="minorHAnsi" w:hAnsiTheme="minorHAnsi" w:cstheme="minorHAnsi"/>
        </w:rPr>
        <w:t xml:space="preserve">. </w:t>
      </w:r>
      <w:r w:rsidR="00DE5DAE" w:rsidRPr="00EF504C">
        <w:rPr>
          <w:rFonts w:asciiTheme="minorHAnsi" w:hAnsiTheme="minorHAnsi" w:cstheme="minorHAnsi"/>
        </w:rPr>
        <w:t>srpnja</w:t>
      </w:r>
      <w:r w:rsidRPr="00EF504C">
        <w:rPr>
          <w:rFonts w:asciiTheme="minorHAnsi" w:hAnsiTheme="minorHAnsi" w:cstheme="minorHAnsi"/>
        </w:rPr>
        <w:t xml:space="preserve"> 202</w:t>
      </w:r>
      <w:r w:rsidR="0053732D">
        <w:rPr>
          <w:rFonts w:asciiTheme="minorHAnsi" w:hAnsiTheme="minorHAnsi" w:cstheme="minorHAnsi"/>
        </w:rPr>
        <w:t>4</w:t>
      </w:r>
      <w:r w:rsidRPr="00EF504C">
        <w:rPr>
          <w:rFonts w:asciiTheme="minorHAnsi" w:hAnsiTheme="minorHAnsi" w:cstheme="minorHAnsi"/>
        </w:rPr>
        <w:t>.</w:t>
      </w:r>
    </w:p>
    <w:p w14:paraId="4ABA3F71" w14:textId="66209C27" w:rsidR="00D41EE3" w:rsidRPr="00EF504C" w:rsidRDefault="00D41EE3" w:rsidP="00D41EE3">
      <w:pPr>
        <w:rPr>
          <w:rFonts w:asciiTheme="majorHAnsi" w:hAnsiTheme="majorHAnsi" w:cstheme="majorHAnsi"/>
        </w:rPr>
      </w:pPr>
    </w:p>
    <w:p w14:paraId="52FE22AD" w14:textId="77777777" w:rsidR="00D41EE3" w:rsidRPr="0028560A" w:rsidRDefault="00D41EE3" w:rsidP="00EE0D02">
      <w:pPr>
        <w:rPr>
          <w:rFonts w:asciiTheme="minorHAnsi" w:hAnsiTheme="minorHAnsi" w:cstheme="minorHAnsi"/>
        </w:rPr>
      </w:pPr>
    </w:p>
    <w:sectPr w:rsidR="00D41EE3" w:rsidRPr="0028560A" w:rsidSect="00D41EE3">
      <w:footerReference w:type="default" r:id="rId9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F036A" w14:textId="77777777" w:rsidR="00BD6818" w:rsidRDefault="00BD6818" w:rsidP="00D41EE3">
      <w:r>
        <w:separator/>
      </w:r>
    </w:p>
  </w:endnote>
  <w:endnote w:type="continuationSeparator" w:id="0">
    <w:p w14:paraId="6CCD0F43" w14:textId="77777777" w:rsidR="00BD6818" w:rsidRDefault="00BD6818" w:rsidP="00D4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5746950"/>
      <w:docPartObj>
        <w:docPartGallery w:val="Page Numbers (Bottom of Page)"/>
        <w:docPartUnique/>
      </w:docPartObj>
    </w:sdtPr>
    <w:sdtContent>
      <w:p w14:paraId="4F72E02A" w14:textId="2536AF58" w:rsidR="00D41EE3" w:rsidRDefault="00D41EE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75FBA" w14:textId="77777777" w:rsidR="00D41EE3" w:rsidRDefault="00D41E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4C2D8C" w14:textId="77777777" w:rsidR="00BD6818" w:rsidRDefault="00BD6818" w:rsidP="00D41EE3">
      <w:r>
        <w:separator/>
      </w:r>
    </w:p>
  </w:footnote>
  <w:footnote w:type="continuationSeparator" w:id="0">
    <w:p w14:paraId="26CCCAE4" w14:textId="77777777" w:rsidR="00BD6818" w:rsidRDefault="00BD6818" w:rsidP="00D41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F0FD4"/>
    <w:multiLevelType w:val="hybridMultilevel"/>
    <w:tmpl w:val="8AD6A8FE"/>
    <w:lvl w:ilvl="0" w:tplc="B9D48E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A054C"/>
    <w:multiLevelType w:val="hybridMultilevel"/>
    <w:tmpl w:val="D4928DFA"/>
    <w:lvl w:ilvl="0" w:tplc="3CA4D16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F16A5D"/>
    <w:multiLevelType w:val="hybridMultilevel"/>
    <w:tmpl w:val="FF3C4BA6"/>
    <w:lvl w:ilvl="0" w:tplc="5874B4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CA5C95"/>
    <w:multiLevelType w:val="hybridMultilevel"/>
    <w:tmpl w:val="D6DEC2A4"/>
    <w:lvl w:ilvl="0" w:tplc="C8026B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685F25"/>
    <w:multiLevelType w:val="hybridMultilevel"/>
    <w:tmpl w:val="F9A61C98"/>
    <w:lvl w:ilvl="0" w:tplc="B4C214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7FB71DD"/>
    <w:multiLevelType w:val="hybridMultilevel"/>
    <w:tmpl w:val="224E8EA8"/>
    <w:lvl w:ilvl="0" w:tplc="F21A80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2947FD"/>
    <w:multiLevelType w:val="multilevel"/>
    <w:tmpl w:val="90D49C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60F43457"/>
    <w:multiLevelType w:val="hybridMultilevel"/>
    <w:tmpl w:val="4D7E4E1E"/>
    <w:lvl w:ilvl="0" w:tplc="51D480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5D436EC"/>
    <w:multiLevelType w:val="hybridMultilevel"/>
    <w:tmpl w:val="0906AE3C"/>
    <w:lvl w:ilvl="0" w:tplc="397222D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1C56FB8"/>
    <w:multiLevelType w:val="hybridMultilevel"/>
    <w:tmpl w:val="D06670FC"/>
    <w:lvl w:ilvl="0" w:tplc="2BC8F2B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372168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45845239">
    <w:abstractNumId w:val="1"/>
  </w:num>
  <w:num w:numId="3" w16cid:durableId="1158688896">
    <w:abstractNumId w:val="3"/>
  </w:num>
  <w:num w:numId="4" w16cid:durableId="2022929328">
    <w:abstractNumId w:val="5"/>
  </w:num>
  <w:num w:numId="5" w16cid:durableId="709494986">
    <w:abstractNumId w:val="0"/>
  </w:num>
  <w:num w:numId="6" w16cid:durableId="1433669449">
    <w:abstractNumId w:val="8"/>
  </w:num>
  <w:num w:numId="7" w16cid:durableId="970788421">
    <w:abstractNumId w:val="9"/>
  </w:num>
  <w:num w:numId="8" w16cid:durableId="1312371609">
    <w:abstractNumId w:val="2"/>
  </w:num>
  <w:num w:numId="9" w16cid:durableId="634717514">
    <w:abstractNumId w:val="7"/>
  </w:num>
  <w:num w:numId="10" w16cid:durableId="14510471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E3"/>
    <w:rsid w:val="0002495E"/>
    <w:rsid w:val="00043B1A"/>
    <w:rsid w:val="00061CCF"/>
    <w:rsid w:val="000E0075"/>
    <w:rsid w:val="000E3A1B"/>
    <w:rsid w:val="00124F63"/>
    <w:rsid w:val="001760F0"/>
    <w:rsid w:val="001B6930"/>
    <w:rsid w:val="001B7EBE"/>
    <w:rsid w:val="001D0DC2"/>
    <w:rsid w:val="001F5376"/>
    <w:rsid w:val="0021503E"/>
    <w:rsid w:val="00236AE3"/>
    <w:rsid w:val="00243258"/>
    <w:rsid w:val="0028560A"/>
    <w:rsid w:val="00301787"/>
    <w:rsid w:val="00312FFA"/>
    <w:rsid w:val="0032776F"/>
    <w:rsid w:val="00336B3F"/>
    <w:rsid w:val="00343835"/>
    <w:rsid w:val="00362E46"/>
    <w:rsid w:val="00375D70"/>
    <w:rsid w:val="003D5A40"/>
    <w:rsid w:val="003E6B30"/>
    <w:rsid w:val="003E7E4E"/>
    <w:rsid w:val="004032F7"/>
    <w:rsid w:val="00417E56"/>
    <w:rsid w:val="00430E73"/>
    <w:rsid w:val="0043653A"/>
    <w:rsid w:val="00443D33"/>
    <w:rsid w:val="00454742"/>
    <w:rsid w:val="00463DA1"/>
    <w:rsid w:val="00486141"/>
    <w:rsid w:val="004A572A"/>
    <w:rsid w:val="004C0249"/>
    <w:rsid w:val="004C0269"/>
    <w:rsid w:val="004C66F8"/>
    <w:rsid w:val="004E1A07"/>
    <w:rsid w:val="004F4462"/>
    <w:rsid w:val="00511007"/>
    <w:rsid w:val="005170C5"/>
    <w:rsid w:val="00523F36"/>
    <w:rsid w:val="0053732D"/>
    <w:rsid w:val="00562573"/>
    <w:rsid w:val="005A074D"/>
    <w:rsid w:val="005A7C06"/>
    <w:rsid w:val="005D1883"/>
    <w:rsid w:val="005E3BE8"/>
    <w:rsid w:val="005F04CC"/>
    <w:rsid w:val="005F4638"/>
    <w:rsid w:val="00603ADA"/>
    <w:rsid w:val="006663E7"/>
    <w:rsid w:val="00686ADF"/>
    <w:rsid w:val="006B0FB1"/>
    <w:rsid w:val="006B582C"/>
    <w:rsid w:val="006C4BC9"/>
    <w:rsid w:val="006F7C1E"/>
    <w:rsid w:val="00736BD9"/>
    <w:rsid w:val="00762606"/>
    <w:rsid w:val="0076316C"/>
    <w:rsid w:val="007636F8"/>
    <w:rsid w:val="007645AE"/>
    <w:rsid w:val="007734AF"/>
    <w:rsid w:val="007A1992"/>
    <w:rsid w:val="007F4AEF"/>
    <w:rsid w:val="007F55AA"/>
    <w:rsid w:val="00801A70"/>
    <w:rsid w:val="00823A89"/>
    <w:rsid w:val="00826895"/>
    <w:rsid w:val="00845975"/>
    <w:rsid w:val="00860449"/>
    <w:rsid w:val="008740A6"/>
    <w:rsid w:val="00880CDF"/>
    <w:rsid w:val="00896EB1"/>
    <w:rsid w:val="008C3257"/>
    <w:rsid w:val="008E03CD"/>
    <w:rsid w:val="008E2B13"/>
    <w:rsid w:val="0091111C"/>
    <w:rsid w:val="00953521"/>
    <w:rsid w:val="00972277"/>
    <w:rsid w:val="00974C24"/>
    <w:rsid w:val="009B7DDB"/>
    <w:rsid w:val="009C7CE0"/>
    <w:rsid w:val="009F08D1"/>
    <w:rsid w:val="00A0455C"/>
    <w:rsid w:val="00A10D9E"/>
    <w:rsid w:val="00A455D9"/>
    <w:rsid w:val="00A56969"/>
    <w:rsid w:val="00A75F2C"/>
    <w:rsid w:val="00AC7893"/>
    <w:rsid w:val="00AE3727"/>
    <w:rsid w:val="00AF39EA"/>
    <w:rsid w:val="00B05C67"/>
    <w:rsid w:val="00B1003F"/>
    <w:rsid w:val="00B6313B"/>
    <w:rsid w:val="00BA0ACD"/>
    <w:rsid w:val="00BD6818"/>
    <w:rsid w:val="00BE080F"/>
    <w:rsid w:val="00C57BC0"/>
    <w:rsid w:val="00C6118B"/>
    <w:rsid w:val="00C622E1"/>
    <w:rsid w:val="00C705E5"/>
    <w:rsid w:val="00C70EB9"/>
    <w:rsid w:val="00C91444"/>
    <w:rsid w:val="00CA7C12"/>
    <w:rsid w:val="00CB20A3"/>
    <w:rsid w:val="00D33E45"/>
    <w:rsid w:val="00D36ABA"/>
    <w:rsid w:val="00D41EE3"/>
    <w:rsid w:val="00D46E51"/>
    <w:rsid w:val="00D74277"/>
    <w:rsid w:val="00DB7032"/>
    <w:rsid w:val="00DD78B2"/>
    <w:rsid w:val="00DE5DAE"/>
    <w:rsid w:val="00E15441"/>
    <w:rsid w:val="00E33BDD"/>
    <w:rsid w:val="00E44BEA"/>
    <w:rsid w:val="00E55F84"/>
    <w:rsid w:val="00E6315E"/>
    <w:rsid w:val="00E635AF"/>
    <w:rsid w:val="00E84FFD"/>
    <w:rsid w:val="00EB757A"/>
    <w:rsid w:val="00ED17E9"/>
    <w:rsid w:val="00EE0D02"/>
    <w:rsid w:val="00EF504C"/>
    <w:rsid w:val="00F36D38"/>
    <w:rsid w:val="00F441D6"/>
    <w:rsid w:val="00F57DE6"/>
    <w:rsid w:val="00FD05B0"/>
    <w:rsid w:val="00FD5907"/>
    <w:rsid w:val="00FD6BD7"/>
    <w:rsid w:val="00FE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39BDF"/>
  <w15:chartTrackingRefBased/>
  <w15:docId w15:val="{18D111C2-26BC-4443-AC70-6F06B6947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1E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1EE3"/>
    <w:pPr>
      <w:ind w:left="720"/>
      <w:contextualSpacing/>
    </w:pPr>
  </w:style>
  <w:style w:type="table" w:customStyle="1" w:styleId="TableGrid">
    <w:name w:val="TableGrid"/>
    <w:rsid w:val="00D41EE3"/>
    <w:pPr>
      <w:spacing w:after="0" w:line="240" w:lineRule="auto"/>
    </w:pPr>
    <w:rPr>
      <w:rFonts w:eastAsiaTheme="minorEastAsia"/>
      <w:lang w:val="hr-HR"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D41EE3"/>
    <w:pPr>
      <w:widowControl w:val="0"/>
      <w:autoSpaceDE w:val="0"/>
      <w:autoSpaceDN w:val="0"/>
      <w:ind w:left="116"/>
    </w:pPr>
    <w:rPr>
      <w:lang w:bidi="hr-HR"/>
    </w:rPr>
  </w:style>
  <w:style w:type="character" w:customStyle="1" w:styleId="BodyTextChar">
    <w:name w:val="Body Text Char"/>
    <w:basedOn w:val="DefaultParagraphFont"/>
    <w:link w:val="BodyText"/>
    <w:uiPriority w:val="1"/>
    <w:rsid w:val="00D41EE3"/>
    <w:rPr>
      <w:rFonts w:ascii="Times New Roman" w:eastAsia="Times New Roman" w:hAnsi="Times New Roman" w:cs="Times New Roman"/>
      <w:sz w:val="24"/>
      <w:szCs w:val="24"/>
      <w:lang w:val="hr-HR" w:eastAsia="hr-HR" w:bidi="hr-HR"/>
    </w:rPr>
  </w:style>
  <w:style w:type="paragraph" w:styleId="Header">
    <w:name w:val="header"/>
    <w:basedOn w:val="Normal"/>
    <w:link w:val="HeaderChar"/>
    <w:uiPriority w:val="99"/>
    <w:unhideWhenUsed/>
    <w:rsid w:val="00D41E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EE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Footer">
    <w:name w:val="footer"/>
    <w:basedOn w:val="Normal"/>
    <w:link w:val="FooterChar"/>
    <w:uiPriority w:val="99"/>
    <w:unhideWhenUsed/>
    <w:rsid w:val="00D41E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EE3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TableGrid0">
    <w:name w:val="Table Grid"/>
    <w:basedOn w:val="TableNormal"/>
    <w:uiPriority w:val="39"/>
    <w:rsid w:val="003E6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96EB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96EB1"/>
    <w:rPr>
      <w:color w:val="954F72"/>
      <w:u w:val="single"/>
    </w:rPr>
  </w:style>
  <w:style w:type="paragraph" w:customStyle="1" w:styleId="msonormal0">
    <w:name w:val="msonormal"/>
    <w:basedOn w:val="Normal"/>
    <w:rsid w:val="00896EB1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68">
    <w:name w:val="xl68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</w:style>
  <w:style w:type="paragraph" w:customStyle="1" w:styleId="xl69">
    <w:name w:val="xl69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0">
    <w:name w:val="xl70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1">
    <w:name w:val="xl71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2">
    <w:name w:val="xl72"/>
    <w:basedOn w:val="Normal"/>
    <w:rsid w:val="00896E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4">
    <w:name w:val="xl74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EB9C"/>
      <w:spacing w:before="100" w:beforeAutospacing="1" w:after="100" w:afterAutospacing="1"/>
      <w:jc w:val="center"/>
      <w:textAlignment w:val="center"/>
    </w:pPr>
    <w:rPr>
      <w:rFonts w:ascii="Calibri" w:hAnsi="Calibri" w:cs="Calibri"/>
      <w:b/>
      <w:bCs/>
    </w:rPr>
  </w:style>
  <w:style w:type="paragraph" w:customStyle="1" w:styleId="xl75">
    <w:name w:val="xl75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76">
    <w:name w:val="xl76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77">
    <w:name w:val="xl77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78">
    <w:name w:val="xl78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</w:style>
  <w:style w:type="paragraph" w:customStyle="1" w:styleId="xl79">
    <w:name w:val="xl79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</w:pPr>
  </w:style>
  <w:style w:type="paragraph" w:customStyle="1" w:styleId="xl80">
    <w:name w:val="xl80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D08E"/>
      <w:spacing w:before="100" w:beforeAutospacing="1" w:after="100" w:afterAutospacing="1"/>
      <w:jc w:val="right"/>
    </w:pPr>
  </w:style>
  <w:style w:type="paragraph" w:customStyle="1" w:styleId="xl81">
    <w:name w:val="xl81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</w:style>
  <w:style w:type="paragraph" w:customStyle="1" w:styleId="xl82">
    <w:name w:val="xl82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83">
    <w:name w:val="xl83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4">
    <w:name w:val="xl84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5">
    <w:name w:val="xl85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86">
    <w:name w:val="xl86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87">
    <w:name w:val="xl87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88">
    <w:name w:val="xl88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A9D08E"/>
      <w:spacing w:before="100" w:beforeAutospacing="1" w:after="100" w:afterAutospacing="1"/>
      <w:jc w:val="right"/>
    </w:pPr>
  </w:style>
  <w:style w:type="paragraph" w:customStyle="1" w:styleId="xl89">
    <w:name w:val="xl89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90">
    <w:name w:val="xl90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91">
    <w:name w:val="xl91"/>
    <w:basedOn w:val="Normal"/>
    <w:rsid w:val="00896EB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92">
    <w:name w:val="xl92"/>
    <w:basedOn w:val="Normal"/>
    <w:rsid w:val="00896E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93">
    <w:name w:val="xl93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</w:pPr>
  </w:style>
  <w:style w:type="paragraph" w:customStyle="1" w:styleId="xl94">
    <w:name w:val="xl94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95">
    <w:name w:val="xl95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96">
    <w:name w:val="xl96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7">
    <w:name w:val="xl97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8">
    <w:name w:val="xl98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99">
    <w:name w:val="xl99"/>
    <w:basedOn w:val="Normal"/>
    <w:rsid w:val="00896EB1"/>
    <w:pPr>
      <w:pBdr>
        <w:top w:val="single" w:sz="4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0">
    <w:name w:val="xl100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1">
    <w:name w:val="xl101"/>
    <w:basedOn w:val="Normal"/>
    <w:rsid w:val="00896EB1"/>
    <w:pPr>
      <w:pBdr>
        <w:top w:val="single" w:sz="4" w:space="0" w:color="auto"/>
        <w:left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2">
    <w:name w:val="xl102"/>
    <w:basedOn w:val="Normal"/>
    <w:rsid w:val="00896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3">
    <w:name w:val="xl103"/>
    <w:basedOn w:val="Normal"/>
    <w:rsid w:val="00896EB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4">
    <w:name w:val="xl104"/>
    <w:basedOn w:val="Normal"/>
    <w:rsid w:val="00896EB1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hAnsi="Calibri" w:cs="Calibri"/>
    </w:rPr>
  </w:style>
  <w:style w:type="paragraph" w:customStyle="1" w:styleId="xl105">
    <w:name w:val="xl105"/>
    <w:basedOn w:val="Normal"/>
    <w:rsid w:val="00896E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6">
    <w:name w:val="xl106"/>
    <w:basedOn w:val="Normal"/>
    <w:rsid w:val="00896EB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7">
    <w:name w:val="xl107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108">
    <w:name w:val="xl108"/>
    <w:basedOn w:val="Normal"/>
    <w:rsid w:val="00896EB1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09">
    <w:name w:val="xl109"/>
    <w:basedOn w:val="Normal"/>
    <w:rsid w:val="00896EB1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Normal"/>
    <w:rsid w:val="00896EB1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896EB1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5373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2CC"/>
      <w:spacing w:before="100" w:beforeAutospacing="1" w:after="100" w:afterAutospacing="1"/>
      <w:jc w:val="right"/>
    </w:pPr>
  </w:style>
  <w:style w:type="paragraph" w:customStyle="1" w:styleId="xl113">
    <w:name w:val="xl113"/>
    <w:basedOn w:val="Normal"/>
    <w:rsid w:val="005373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</w:style>
  <w:style w:type="paragraph" w:customStyle="1" w:styleId="xl114">
    <w:name w:val="xl114"/>
    <w:basedOn w:val="Normal"/>
    <w:rsid w:val="005373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 w:cs="Calibri"/>
    </w:rPr>
  </w:style>
  <w:style w:type="paragraph" w:customStyle="1" w:styleId="xl115">
    <w:name w:val="xl115"/>
    <w:basedOn w:val="Normal"/>
    <w:rsid w:val="0053732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Normal"/>
    <w:rsid w:val="0053732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Normal"/>
    <w:rsid w:val="0053732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D966"/>
      <w:spacing w:before="100" w:beforeAutospacing="1" w:after="100" w:afterAutospacing="1"/>
      <w:jc w:val="center"/>
      <w:textAlignment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C2BA4-F344-49FA-87C2-C824766FD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28</Pages>
  <Words>5924</Words>
  <Characters>33770</Characters>
  <Application>Microsoft Office Word</Application>
  <DocSecurity>0</DocSecurity>
  <Lines>281</Lines>
  <Paragraphs>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Kazalište Šibenik</dc:creator>
  <cp:keywords/>
  <dc:description/>
  <cp:lastModifiedBy>HNK Racunovodstvo</cp:lastModifiedBy>
  <cp:revision>43</cp:revision>
  <cp:lastPrinted>2024-07-31T09:36:00Z</cp:lastPrinted>
  <dcterms:created xsi:type="dcterms:W3CDTF">2023-07-26T10:48:00Z</dcterms:created>
  <dcterms:modified xsi:type="dcterms:W3CDTF">2024-07-31T09:37:00Z</dcterms:modified>
</cp:coreProperties>
</file>