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00" w:rsidRPr="008C43BA" w:rsidRDefault="00FB4B00" w:rsidP="008C43BA">
      <w:pPr>
        <w:spacing w:line="276" w:lineRule="auto"/>
        <w:jc w:val="both"/>
        <w:rPr>
          <w:rFonts w:ascii="Times New Roman" w:hAnsi="Times New Roman"/>
          <w:b/>
          <w:bCs/>
          <w:sz w:val="24"/>
          <w:szCs w:val="24"/>
        </w:rPr>
      </w:pPr>
      <w:r w:rsidRPr="008C43BA">
        <w:rPr>
          <w:rFonts w:ascii="Times New Roman" w:hAnsi="Times New Roman"/>
          <w:sz w:val="24"/>
          <w:szCs w:val="24"/>
        </w:rPr>
        <w:t xml:space="preserve">NAZIV OBVEZNIKA:  </w:t>
      </w:r>
      <w:r w:rsidRPr="008C43BA">
        <w:rPr>
          <w:rFonts w:ascii="Times New Roman" w:hAnsi="Times New Roman"/>
          <w:b/>
          <w:bCs/>
          <w:sz w:val="24"/>
          <w:szCs w:val="24"/>
        </w:rPr>
        <w:t>HRVATSKO NARODNO KAZALIŠTE U ŠIBENIKU</w:t>
      </w:r>
    </w:p>
    <w:p w:rsidR="00FB4B00" w:rsidRPr="008C43BA" w:rsidRDefault="00FB4B00" w:rsidP="008C43BA">
      <w:pPr>
        <w:spacing w:line="276" w:lineRule="auto"/>
        <w:jc w:val="both"/>
        <w:rPr>
          <w:rFonts w:ascii="Times New Roman" w:hAnsi="Times New Roman"/>
          <w:bCs/>
          <w:sz w:val="24"/>
          <w:szCs w:val="24"/>
        </w:rPr>
      </w:pPr>
      <w:r w:rsidRPr="008C43BA">
        <w:rPr>
          <w:rFonts w:ascii="Times New Roman" w:hAnsi="Times New Roman"/>
          <w:bCs/>
          <w:sz w:val="24"/>
          <w:szCs w:val="24"/>
        </w:rPr>
        <w:t>POŠTA I MJESTO: 22000 Šibenik</w:t>
      </w:r>
    </w:p>
    <w:p w:rsidR="00FB4B00" w:rsidRPr="008C43BA" w:rsidRDefault="00FB4B00" w:rsidP="008C43BA">
      <w:pPr>
        <w:spacing w:line="276" w:lineRule="auto"/>
        <w:jc w:val="both"/>
        <w:rPr>
          <w:rFonts w:ascii="Times New Roman" w:hAnsi="Times New Roman"/>
          <w:sz w:val="24"/>
          <w:szCs w:val="24"/>
        </w:rPr>
      </w:pPr>
      <w:r w:rsidRPr="008C43BA">
        <w:rPr>
          <w:rFonts w:ascii="Times New Roman" w:hAnsi="Times New Roman"/>
          <w:bCs/>
          <w:sz w:val="24"/>
          <w:szCs w:val="24"/>
        </w:rPr>
        <w:t>ULICA I KUĆNI BROJ: Kralja Zvonimira 1</w:t>
      </w:r>
      <w:r w:rsidR="003418A6" w:rsidRPr="008C43BA">
        <w:rPr>
          <w:rFonts w:ascii="Times New Roman" w:hAnsi="Times New Roman"/>
          <w:sz w:val="24"/>
          <w:szCs w:val="24"/>
        </w:rPr>
        <w:tab/>
      </w:r>
    </w:p>
    <w:p w:rsidR="00FB4B00" w:rsidRPr="008C43BA" w:rsidRDefault="00FB4B00" w:rsidP="008C43BA">
      <w:pPr>
        <w:spacing w:line="276" w:lineRule="auto"/>
        <w:jc w:val="both"/>
        <w:rPr>
          <w:rFonts w:ascii="Times New Roman" w:hAnsi="Times New Roman"/>
          <w:sz w:val="24"/>
          <w:szCs w:val="24"/>
        </w:rPr>
      </w:pPr>
      <w:r w:rsidRPr="008C43BA">
        <w:rPr>
          <w:rFonts w:ascii="Times New Roman" w:hAnsi="Times New Roman"/>
          <w:sz w:val="24"/>
          <w:szCs w:val="24"/>
        </w:rPr>
        <w:t>BROJ RKP: 33667</w:t>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t>OIB: 58343929119</w:t>
      </w:r>
    </w:p>
    <w:p w:rsidR="00FB4B00" w:rsidRPr="008C43BA" w:rsidRDefault="00FB4B00" w:rsidP="008C43BA">
      <w:pPr>
        <w:spacing w:line="276" w:lineRule="auto"/>
        <w:jc w:val="both"/>
        <w:rPr>
          <w:rFonts w:ascii="Times New Roman" w:hAnsi="Times New Roman"/>
          <w:sz w:val="24"/>
          <w:szCs w:val="24"/>
        </w:rPr>
      </w:pPr>
      <w:r w:rsidRPr="008C43BA">
        <w:rPr>
          <w:rFonts w:ascii="Times New Roman" w:hAnsi="Times New Roman"/>
          <w:sz w:val="24"/>
          <w:szCs w:val="24"/>
        </w:rPr>
        <w:t>MATIČNI BROJ: 03019624</w:t>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t>ŠIFRA DJELATNOSTI: 9001</w:t>
      </w:r>
    </w:p>
    <w:p w:rsidR="00FB4B00" w:rsidRPr="008C43BA" w:rsidRDefault="00FB4B00" w:rsidP="008C43BA">
      <w:pPr>
        <w:spacing w:line="276" w:lineRule="auto"/>
        <w:jc w:val="both"/>
        <w:rPr>
          <w:rFonts w:ascii="Times New Roman" w:hAnsi="Times New Roman"/>
          <w:sz w:val="24"/>
          <w:szCs w:val="24"/>
        </w:rPr>
      </w:pPr>
      <w:r w:rsidRPr="008C43BA">
        <w:rPr>
          <w:rFonts w:ascii="Times New Roman" w:hAnsi="Times New Roman"/>
          <w:sz w:val="24"/>
          <w:szCs w:val="24"/>
        </w:rPr>
        <w:t>RAZINA: 21</w:t>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t>RAZDJEL: 000</w:t>
      </w:r>
      <w:r w:rsidRPr="008C43BA">
        <w:rPr>
          <w:rFonts w:ascii="Times New Roman" w:hAnsi="Times New Roman"/>
          <w:sz w:val="24"/>
          <w:szCs w:val="24"/>
        </w:rPr>
        <w:tab/>
        <w:t>ŠIFRA GRADA: 444</w:t>
      </w:r>
      <w:r w:rsidRPr="008C43BA">
        <w:rPr>
          <w:rFonts w:ascii="Times New Roman" w:hAnsi="Times New Roman"/>
          <w:sz w:val="24"/>
          <w:szCs w:val="24"/>
        </w:rPr>
        <w:tab/>
      </w:r>
      <w:r w:rsidRPr="008C43BA">
        <w:rPr>
          <w:rFonts w:ascii="Times New Roman" w:hAnsi="Times New Roman"/>
          <w:sz w:val="24"/>
          <w:szCs w:val="24"/>
        </w:rPr>
        <w:tab/>
      </w:r>
    </w:p>
    <w:p w:rsidR="003418A6" w:rsidRPr="008C43BA" w:rsidRDefault="003418A6" w:rsidP="008C43BA">
      <w:pPr>
        <w:spacing w:line="276" w:lineRule="auto"/>
        <w:jc w:val="both"/>
        <w:rPr>
          <w:rFonts w:ascii="Times New Roman" w:hAnsi="Times New Roman"/>
          <w:sz w:val="24"/>
          <w:szCs w:val="24"/>
        </w:rPr>
      </w:pP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r w:rsidRPr="008C43BA">
        <w:rPr>
          <w:rFonts w:ascii="Times New Roman" w:hAnsi="Times New Roman"/>
          <w:sz w:val="24"/>
          <w:szCs w:val="24"/>
        </w:rPr>
        <w:tab/>
      </w: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D6317C" w:rsidRPr="008C43BA" w:rsidRDefault="00D6317C" w:rsidP="008C43BA">
      <w:pPr>
        <w:spacing w:line="276" w:lineRule="auto"/>
        <w:jc w:val="both"/>
        <w:rPr>
          <w:rFonts w:ascii="Times New Roman" w:hAnsi="Times New Roman"/>
          <w:sz w:val="24"/>
          <w:szCs w:val="24"/>
        </w:rPr>
      </w:pPr>
    </w:p>
    <w:p w:rsidR="00D6317C" w:rsidRPr="008C43BA" w:rsidRDefault="00D6317C"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center"/>
        <w:rPr>
          <w:rFonts w:ascii="Times New Roman" w:hAnsi="Times New Roman"/>
          <w:sz w:val="24"/>
          <w:szCs w:val="24"/>
        </w:rPr>
      </w:pPr>
      <w:r w:rsidRPr="008C43BA">
        <w:rPr>
          <w:rFonts w:ascii="Times New Roman" w:hAnsi="Times New Roman"/>
          <w:sz w:val="24"/>
          <w:szCs w:val="24"/>
        </w:rPr>
        <w:t>BILJEŠKE UZ FINANCIJSK</w:t>
      </w:r>
      <w:r w:rsidR="00EB48C1" w:rsidRPr="008C43BA">
        <w:rPr>
          <w:rFonts w:ascii="Times New Roman" w:hAnsi="Times New Roman"/>
          <w:sz w:val="24"/>
          <w:szCs w:val="24"/>
        </w:rPr>
        <w:t>E</w:t>
      </w:r>
      <w:r w:rsidRPr="008C43BA">
        <w:rPr>
          <w:rFonts w:ascii="Times New Roman" w:hAnsi="Times New Roman"/>
          <w:sz w:val="24"/>
          <w:szCs w:val="24"/>
        </w:rPr>
        <w:t xml:space="preserve"> IZVJEŠTAJ</w:t>
      </w:r>
      <w:r w:rsidR="00EB48C1" w:rsidRPr="008C43BA">
        <w:rPr>
          <w:rFonts w:ascii="Times New Roman" w:hAnsi="Times New Roman"/>
          <w:sz w:val="24"/>
          <w:szCs w:val="24"/>
        </w:rPr>
        <w:t>E</w:t>
      </w:r>
    </w:p>
    <w:p w:rsidR="003418A6" w:rsidRPr="008C43BA" w:rsidRDefault="00EB48C1" w:rsidP="008C43BA">
      <w:pPr>
        <w:spacing w:line="276" w:lineRule="auto"/>
        <w:jc w:val="center"/>
        <w:rPr>
          <w:rFonts w:ascii="Times New Roman" w:hAnsi="Times New Roman"/>
          <w:sz w:val="24"/>
          <w:szCs w:val="24"/>
        </w:rPr>
      </w:pPr>
      <w:r w:rsidRPr="008C43BA">
        <w:rPr>
          <w:rFonts w:ascii="Times New Roman" w:hAnsi="Times New Roman"/>
          <w:sz w:val="24"/>
          <w:szCs w:val="24"/>
        </w:rPr>
        <w:t xml:space="preserve">ZA </w:t>
      </w:r>
      <w:r w:rsidR="008C43BA" w:rsidRPr="008C43BA">
        <w:rPr>
          <w:rFonts w:ascii="Times New Roman" w:hAnsi="Times New Roman"/>
          <w:sz w:val="24"/>
          <w:szCs w:val="24"/>
        </w:rPr>
        <w:t>RAZDOBLJE 2020</w:t>
      </w:r>
      <w:r w:rsidR="003418A6" w:rsidRPr="008C43BA">
        <w:rPr>
          <w:rFonts w:ascii="Times New Roman" w:hAnsi="Times New Roman"/>
          <w:sz w:val="24"/>
          <w:szCs w:val="24"/>
        </w:rPr>
        <w:t>-12</w:t>
      </w: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Pr="008C43BA" w:rsidRDefault="003418A6" w:rsidP="008C43BA">
      <w:pPr>
        <w:spacing w:line="276" w:lineRule="auto"/>
        <w:jc w:val="both"/>
        <w:rPr>
          <w:rFonts w:ascii="Times New Roman" w:hAnsi="Times New Roman"/>
          <w:sz w:val="24"/>
          <w:szCs w:val="24"/>
        </w:rPr>
      </w:pPr>
    </w:p>
    <w:p w:rsidR="003418A6" w:rsidRDefault="003418A6" w:rsidP="008C43BA">
      <w:pPr>
        <w:spacing w:line="276" w:lineRule="auto"/>
        <w:jc w:val="both"/>
        <w:rPr>
          <w:rFonts w:ascii="Times New Roman" w:hAnsi="Times New Roman"/>
          <w:sz w:val="24"/>
          <w:szCs w:val="24"/>
        </w:rPr>
      </w:pPr>
    </w:p>
    <w:p w:rsidR="00562261" w:rsidRPr="008C43BA" w:rsidRDefault="00562261" w:rsidP="008C43BA">
      <w:pPr>
        <w:spacing w:line="276" w:lineRule="auto"/>
        <w:jc w:val="both"/>
        <w:rPr>
          <w:rFonts w:ascii="Times New Roman" w:hAnsi="Times New Roman"/>
          <w:sz w:val="24"/>
          <w:szCs w:val="24"/>
        </w:rPr>
      </w:pPr>
    </w:p>
    <w:p w:rsidR="003418A6" w:rsidRDefault="003418A6" w:rsidP="008C43BA">
      <w:pPr>
        <w:spacing w:line="276" w:lineRule="auto"/>
        <w:jc w:val="center"/>
        <w:rPr>
          <w:rFonts w:ascii="Times New Roman" w:hAnsi="Times New Roman"/>
          <w:sz w:val="24"/>
          <w:szCs w:val="24"/>
        </w:rPr>
      </w:pPr>
      <w:r w:rsidRPr="008C43BA">
        <w:rPr>
          <w:rFonts w:ascii="Times New Roman" w:hAnsi="Times New Roman"/>
          <w:sz w:val="24"/>
          <w:szCs w:val="24"/>
        </w:rPr>
        <w:t xml:space="preserve">Šibenik, </w:t>
      </w:r>
      <w:r w:rsidR="008C43BA" w:rsidRPr="008C43BA">
        <w:rPr>
          <w:rFonts w:ascii="Times New Roman" w:hAnsi="Times New Roman"/>
          <w:sz w:val="24"/>
          <w:szCs w:val="24"/>
        </w:rPr>
        <w:t>1</w:t>
      </w:r>
      <w:r w:rsidRPr="008C43BA">
        <w:rPr>
          <w:rFonts w:ascii="Times New Roman" w:hAnsi="Times New Roman"/>
          <w:sz w:val="24"/>
          <w:szCs w:val="24"/>
        </w:rPr>
        <w:t>.</w:t>
      </w:r>
      <w:r w:rsidR="008C43BA" w:rsidRPr="008C43BA">
        <w:rPr>
          <w:rFonts w:ascii="Times New Roman" w:hAnsi="Times New Roman"/>
          <w:sz w:val="24"/>
          <w:szCs w:val="24"/>
        </w:rPr>
        <w:t xml:space="preserve"> veljače 2021.</w:t>
      </w:r>
    </w:p>
    <w:p w:rsidR="003418A6" w:rsidRPr="008C43BA" w:rsidRDefault="008C43BA" w:rsidP="008C43BA">
      <w:pPr>
        <w:pStyle w:val="ListParagraph"/>
        <w:numPr>
          <w:ilvl w:val="0"/>
          <w:numId w:val="1"/>
        </w:numPr>
        <w:spacing w:line="276" w:lineRule="auto"/>
        <w:jc w:val="both"/>
        <w:rPr>
          <w:rFonts w:ascii="Times New Roman" w:hAnsi="Times New Roman"/>
          <w:b/>
          <w:i/>
          <w:sz w:val="24"/>
          <w:szCs w:val="24"/>
        </w:rPr>
      </w:pPr>
      <w:r w:rsidRPr="008C43BA">
        <w:rPr>
          <w:rFonts w:ascii="Times New Roman" w:hAnsi="Times New Roman"/>
          <w:b/>
          <w:i/>
          <w:sz w:val="24"/>
          <w:szCs w:val="24"/>
        </w:rPr>
        <w:lastRenderedPageBreak/>
        <w:t>UVODNI DIO</w:t>
      </w:r>
    </w:p>
    <w:p w:rsidR="008C43BA" w:rsidRPr="008C43BA" w:rsidRDefault="008C43BA" w:rsidP="008C43BA">
      <w:pPr>
        <w:pStyle w:val="ListParagraph"/>
        <w:spacing w:line="276" w:lineRule="auto"/>
        <w:jc w:val="both"/>
        <w:rPr>
          <w:rFonts w:ascii="Times New Roman" w:hAnsi="Times New Roman"/>
          <w:b/>
          <w:i/>
          <w:sz w:val="24"/>
          <w:szCs w:val="24"/>
        </w:rPr>
      </w:pP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Hrvatsko narodno kazalište u Šibeniku javna je ustanova u kulturi čiji je osnivač grad Šibenik i kao tak</w:t>
      </w:r>
      <w:r w:rsidR="00562261">
        <w:rPr>
          <w:rFonts w:ascii="Times New Roman" w:hAnsi="Times New Roman"/>
          <w:sz w:val="24"/>
          <w:szCs w:val="24"/>
        </w:rPr>
        <w:t>vo</w:t>
      </w:r>
      <w:r w:rsidRPr="008C43BA">
        <w:rPr>
          <w:rFonts w:ascii="Times New Roman" w:hAnsi="Times New Roman"/>
          <w:sz w:val="24"/>
          <w:szCs w:val="24"/>
        </w:rPr>
        <w:t xml:space="preserve"> je proračunski korisnik jedinice lokalne samoprave i posluje prema važećim zakonima i pravilnicima o proračunu. Financijski izvještaji za razdoblje od 01. siječnja do 31. prosinca 2020. godine popunjeni su sukladno odredbama Pravilnika o financijskom izvještavanju u proračunskom računovodstvu („Narodne novine“, broj 3/15., 93/15., 135/15., 2/17., 28/17., 112/18. i 126/19.). Od 07. listopada 2020., u Narodnim novinama, objavljen je Pravilnik o izmjenama i dopunama Pravilnika o proračunskom računovodstvu i Računskom planu čije se odredbe primjenjuju od 01. siječnja 2021. te se ne primjenjuju za sastavljanje financijskih izvještaja za razdoblje od 01. siječnja do 31. prosinca 2020.</w:t>
      </w: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Događaji koji su obilježili proteklu 2020. godinu, a koji su imali utjecaj na poslovanje Hrvatskog narodnog kazališta u Šibeniku, su pandemija koronavirusom te ograničavanje poslovanja kulturnih ustanova u svrhu širenja pandemije. Od 19. ožujka 2020. godine trajala je obustava rada kazališta, a uz pridržavanje protupandemijskih mjera u značajnom smanjenom obimu održan je 60. Međunarodni dječji festival Šibenik Hrvatska. Pretplatnička sezona koju HNK u Šibeniku u „normalnim“ okolnostima ima u periodu listopad – svibanj nije se održala te se nisu sklapali ugovori s pretplatnicima. Uz sve protupandemijske mjere uspješno je izvedena premijera „Murlin Murlo“ u listopadu 2020. kada se uz ograničenje broja posjetitelja (sa 309 na 48) kreće s održavanjem i ostalih programa. Stoga se financijski izvještaji za 2020. godinu generalno mogu okarakterizirati kao izvještaji o smanjenom obimu poslovanja HNK u Šibeniku.</w:t>
      </w: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Odgovorna osoba u Hrvatskom narodnom kazalištu u Šibeniku je ravnatelj Jakov Bilić, mag.art, a osoba koja je sastavljala financijsko izvješće je Josip Jadran Sekso, mag. oec., zaposlen na radnom mjestu voditelja računovodstva.</w:t>
      </w:r>
    </w:p>
    <w:p w:rsidR="008C43BA" w:rsidRPr="008C43BA" w:rsidRDefault="008C43BA" w:rsidP="008C43BA">
      <w:pPr>
        <w:pStyle w:val="ListParagraph"/>
        <w:spacing w:line="276" w:lineRule="auto"/>
        <w:jc w:val="both"/>
        <w:rPr>
          <w:rFonts w:ascii="Times New Roman" w:hAnsi="Times New Roman"/>
          <w:b/>
          <w:i/>
          <w:sz w:val="24"/>
          <w:szCs w:val="24"/>
        </w:rPr>
      </w:pPr>
    </w:p>
    <w:p w:rsidR="008C43BA" w:rsidRPr="008C43BA" w:rsidRDefault="008C43BA" w:rsidP="008C43BA">
      <w:pPr>
        <w:pStyle w:val="ListParagraph"/>
        <w:numPr>
          <w:ilvl w:val="0"/>
          <w:numId w:val="1"/>
        </w:numPr>
        <w:spacing w:line="276" w:lineRule="auto"/>
        <w:jc w:val="both"/>
        <w:rPr>
          <w:rFonts w:ascii="Times New Roman" w:hAnsi="Times New Roman"/>
          <w:b/>
          <w:i/>
          <w:sz w:val="24"/>
          <w:szCs w:val="24"/>
        </w:rPr>
      </w:pPr>
      <w:r w:rsidRPr="008C43BA">
        <w:rPr>
          <w:rFonts w:ascii="Times New Roman" w:hAnsi="Times New Roman"/>
          <w:b/>
          <w:i/>
          <w:sz w:val="24"/>
          <w:szCs w:val="24"/>
        </w:rPr>
        <w:t>BILJEŠKE UZ PR-RAS</w:t>
      </w:r>
    </w:p>
    <w:p w:rsidR="008C43BA" w:rsidRPr="008C43BA" w:rsidRDefault="008C43BA" w:rsidP="008C43BA">
      <w:pPr>
        <w:pStyle w:val="ListParagraph"/>
        <w:spacing w:line="276" w:lineRule="auto"/>
        <w:ind w:left="0"/>
        <w:jc w:val="both"/>
        <w:rPr>
          <w:rFonts w:ascii="Times New Roman" w:hAnsi="Times New Roman"/>
          <w:b/>
          <w:i/>
          <w:sz w:val="24"/>
          <w:szCs w:val="24"/>
        </w:rPr>
      </w:pP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U Izvještaju o prihodima i rashodima, primicima i izdacima iskazani su Prihodi poslovanja na AOP 001 u iznosu </w:t>
      </w:r>
      <w:r w:rsidR="00562261">
        <w:rPr>
          <w:rFonts w:ascii="Times New Roman" w:hAnsi="Times New Roman"/>
          <w:sz w:val="24"/>
          <w:szCs w:val="24"/>
        </w:rPr>
        <w:t>5.988.646 kn</w:t>
      </w:r>
      <w:r w:rsidRPr="008C43BA">
        <w:rPr>
          <w:rFonts w:ascii="Times New Roman" w:hAnsi="Times New Roman"/>
          <w:sz w:val="24"/>
          <w:szCs w:val="24"/>
        </w:rPr>
        <w:t xml:space="preserve"> , Rashodi poslovanja na AOP 148 u iznosu </w:t>
      </w:r>
      <w:r w:rsidR="00562261">
        <w:rPr>
          <w:rFonts w:ascii="Times New Roman" w:hAnsi="Times New Roman"/>
          <w:sz w:val="24"/>
          <w:szCs w:val="24"/>
        </w:rPr>
        <w:t>5.062.048 kn</w:t>
      </w:r>
      <w:r w:rsidRPr="008C43BA">
        <w:rPr>
          <w:rFonts w:ascii="Times New Roman" w:hAnsi="Times New Roman"/>
          <w:sz w:val="24"/>
          <w:szCs w:val="24"/>
        </w:rPr>
        <w:t xml:space="preserve"> i Rashodi za nabavu nefinancijske imovine na AOP 341 u iznosu </w:t>
      </w:r>
      <w:r w:rsidR="00562261">
        <w:rPr>
          <w:rFonts w:ascii="Times New Roman" w:hAnsi="Times New Roman"/>
          <w:sz w:val="24"/>
          <w:szCs w:val="24"/>
        </w:rPr>
        <w:t>580.455 kn</w:t>
      </w:r>
      <w:r w:rsidRPr="008C43BA">
        <w:rPr>
          <w:rFonts w:ascii="Times New Roman" w:hAnsi="Times New Roman"/>
          <w:sz w:val="24"/>
          <w:szCs w:val="24"/>
        </w:rPr>
        <w:t>.</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Kao što je ranije spomenuto, 2020. godinu obilježila je pandemija koronavirusa te bitno smanjeni opseg poslovanja u odnosu na prethodnu godinu. Iz navedenog razloga neće se pojedinačno objašnjavati vrste prihoda i rashoda koje su smanjene u odnosu na prethodnu godinu, a za koje je uzrok smanjenju isti već se u nastavku daje popis rashoda koji su značajno smanjeni s istim razlogom:</w:t>
      </w:r>
      <w:r w:rsidR="00562261">
        <w:rPr>
          <w:rFonts w:ascii="Times New Roman" w:hAnsi="Times New Roman"/>
          <w:sz w:val="24"/>
          <w:szCs w:val="24"/>
        </w:rPr>
        <w:t xml:space="preserve"> AOP 161, 166, 174, 185, 193</w:t>
      </w:r>
      <w:r w:rsidR="001A3705">
        <w:rPr>
          <w:rFonts w:ascii="Times New Roman" w:hAnsi="Times New Roman"/>
          <w:sz w:val="24"/>
          <w:szCs w:val="24"/>
        </w:rPr>
        <w:t xml:space="preserve"> i</w:t>
      </w:r>
      <w:r w:rsidR="00562261">
        <w:rPr>
          <w:rFonts w:ascii="Times New Roman" w:hAnsi="Times New Roman"/>
          <w:sz w:val="24"/>
          <w:szCs w:val="24"/>
        </w:rPr>
        <w:t xml:space="preserve"> 207</w:t>
      </w:r>
      <w:r w:rsidR="001A3705">
        <w:rPr>
          <w:rFonts w:ascii="Times New Roman" w:hAnsi="Times New Roman"/>
          <w:sz w:val="24"/>
          <w:szCs w:val="24"/>
        </w:rPr>
        <w:t>.</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Iz izvještaja je vidljivo da su smanjeni prihodi od obavljanja oporezivih isporuka AOP 124, a ponajviše prihodi od sponzorstva za MDF, potom najma kazališne dvorane i održavanja radionica za djecu.</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lastRenderedPageBreak/>
        <w:t>U 2020. godini pokrenut je kapitalni projekt Brešanova soba čiji su radovi i usluge obuhvaćali ulaganje na imovini osnivača i evidentirani u okviru AOP 353 što predstavlja značajno odstupanje u odnosu na prethodnu godini. Također je za navedeni projekt doznačena pomoć od Ministarstva kulture u iznosu od 12.000 kn evidentirana na AOP 065.</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Na AOP 065 također je evidentiran iznos od 45.000 kn doznačen od strane Ministarstva kulture, a za nabavu opreme za potrebe kazališne djelatnosti.</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Financiranje ostale nabave nefinancijske imovine iskazane u okviru rashoda na AOP 341 bilo je iz sredstava osnivača te su se prihodi evidentirali na AOP 133. Kao što je ranije navedeno u bilješkama uz izvještaj Bilanca nabavljena je oprema za kazališnu djelatnost i potrebe MDF, kao i dio opreme za potrebe administracije (uredska i računalna oprema).</w:t>
      </w:r>
    </w:p>
    <w:p w:rsidR="008C43BA" w:rsidRPr="008C43BA" w:rsidRDefault="008C43BA" w:rsidP="008C43BA">
      <w:pPr>
        <w:spacing w:line="276" w:lineRule="auto"/>
        <w:jc w:val="both"/>
        <w:rPr>
          <w:rFonts w:ascii="Times New Roman" w:hAnsi="Times New Roman"/>
          <w:sz w:val="24"/>
          <w:szCs w:val="24"/>
        </w:rPr>
      </w:pPr>
    </w:p>
    <w:p w:rsidR="008C43BA" w:rsidRPr="008C43BA" w:rsidRDefault="008C43BA" w:rsidP="008C43BA">
      <w:pPr>
        <w:pStyle w:val="ListParagraph"/>
        <w:numPr>
          <w:ilvl w:val="0"/>
          <w:numId w:val="1"/>
        </w:numPr>
        <w:spacing w:line="276" w:lineRule="auto"/>
        <w:jc w:val="both"/>
        <w:rPr>
          <w:rFonts w:ascii="Times New Roman" w:hAnsi="Times New Roman"/>
          <w:b/>
          <w:i/>
          <w:sz w:val="24"/>
          <w:szCs w:val="24"/>
        </w:rPr>
      </w:pPr>
      <w:r w:rsidRPr="008C43BA">
        <w:rPr>
          <w:rFonts w:ascii="Times New Roman" w:hAnsi="Times New Roman"/>
          <w:b/>
          <w:i/>
          <w:sz w:val="24"/>
          <w:szCs w:val="24"/>
        </w:rPr>
        <w:t>BILJEŠKE UZ BILANCU</w:t>
      </w:r>
    </w:p>
    <w:p w:rsidR="008C43BA" w:rsidRPr="008C43BA" w:rsidRDefault="008C43BA" w:rsidP="008C43BA">
      <w:pPr>
        <w:pStyle w:val="ListParagraph"/>
        <w:spacing w:line="276" w:lineRule="auto"/>
        <w:ind w:left="0"/>
        <w:jc w:val="both"/>
        <w:rPr>
          <w:rFonts w:ascii="Times New Roman" w:hAnsi="Times New Roman"/>
          <w:b/>
          <w:i/>
          <w:sz w:val="24"/>
          <w:szCs w:val="24"/>
        </w:rPr>
      </w:pP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U izvještaju Bilanca prikazana je ukupna imovina HNK u Šibeniku na AOP 001 koja iznosi </w:t>
      </w:r>
      <w:r w:rsidRPr="001A3705">
        <w:rPr>
          <w:rFonts w:ascii="Times New Roman" w:hAnsi="Times New Roman"/>
          <w:sz w:val="24"/>
          <w:szCs w:val="24"/>
        </w:rPr>
        <w:t>1.</w:t>
      </w:r>
      <w:r w:rsidR="001A3705">
        <w:rPr>
          <w:rFonts w:ascii="Times New Roman" w:hAnsi="Times New Roman"/>
          <w:sz w:val="24"/>
          <w:szCs w:val="24"/>
        </w:rPr>
        <w:t>860.435</w:t>
      </w:r>
      <w:r w:rsidRPr="008C43BA">
        <w:rPr>
          <w:rFonts w:ascii="Times New Roman" w:hAnsi="Times New Roman"/>
          <w:sz w:val="24"/>
          <w:szCs w:val="24"/>
        </w:rPr>
        <w:t xml:space="preserve"> kn, a sastoji se od Nefinancijske imovine AOP 002 u iznosu od 1.</w:t>
      </w:r>
      <w:r w:rsidR="001A3705">
        <w:rPr>
          <w:rFonts w:ascii="Times New Roman" w:hAnsi="Times New Roman"/>
          <w:sz w:val="24"/>
          <w:szCs w:val="24"/>
        </w:rPr>
        <w:t>301.</w:t>
      </w:r>
      <w:r w:rsidRPr="008C43BA">
        <w:rPr>
          <w:rFonts w:ascii="Times New Roman" w:hAnsi="Times New Roman"/>
          <w:sz w:val="24"/>
          <w:szCs w:val="24"/>
        </w:rPr>
        <w:t xml:space="preserve"> kn i Financijske imovine AOP 063 u iznosu </w:t>
      </w:r>
      <w:r w:rsidR="001A3705">
        <w:rPr>
          <w:rFonts w:ascii="Times New Roman" w:hAnsi="Times New Roman"/>
          <w:sz w:val="24"/>
          <w:szCs w:val="24"/>
        </w:rPr>
        <w:t>558.744</w:t>
      </w:r>
      <w:r w:rsidRPr="008C43BA">
        <w:rPr>
          <w:rFonts w:ascii="Times New Roman" w:hAnsi="Times New Roman"/>
          <w:sz w:val="24"/>
          <w:szCs w:val="24"/>
        </w:rPr>
        <w:t xml:space="preserve"> kn.</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Nefinancijska imovina u 2020. godini značajne promjene ima na AOP 005 gdje je vidljivo povećanje od 362,</w:t>
      </w:r>
      <w:r w:rsidR="001A3705">
        <w:rPr>
          <w:rFonts w:ascii="Times New Roman" w:hAnsi="Times New Roman"/>
          <w:sz w:val="24"/>
          <w:szCs w:val="24"/>
        </w:rPr>
        <w:t>8</w:t>
      </w:r>
      <w:r w:rsidRPr="008C43BA">
        <w:rPr>
          <w:rFonts w:ascii="Times New Roman" w:hAnsi="Times New Roman"/>
          <w:sz w:val="24"/>
          <w:szCs w:val="24"/>
        </w:rPr>
        <w:t xml:space="preserve"> %, a navedeno se odnosi na ulaganje u Brešanovu sobu, kapitalni projekt koji se radi u foajeu zgrade Kazališta koja je u vlasništvu grada Šibenika. Formalno-pravni odnosi s gradom Šibenikom riješeni su ugovorom o korištenju te se zgrada kao takva kod HNK u Šibeniku evidentira kroz izvanbilančne evidencije vidljive na AOP 250. Dodatna ulaganja u zgradu evidentiraju se kroz konto 01241 Ulaganja na tuđoj imovini radi prava korištenja. Po završetku kapitalnog projekta izvršit će se prijenos u knjige osnivača.</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HNK u Šibeniku kroz 2020. godinu nabavilo je novu opremu (pozornica za potrebe MDF, tonska i rasvjetna oprema, uredska i računalna oprema) te je vidljivo povećanje vrijednosti imovine kroz AOP 015 Uredska oprema i namještaj te u većem postotku (73,8%) na AOP 021 Uređaji, strojevi i oprema za ostale namjene. </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Također je na kraj 2020. godine izvršen godišnji popis imovine i obveza te su provedeni otpisi imovine za koju je utvrđeno da više nije ispravna što je vidljivo na AOP 016 i AOP 020. U prvom dijelu godine izvršen je izvanredan popis fundusa kostima te je provedena usklada vrijednosti istih, što značajno utječe na AOP 049 i AOP 050, a isto je vidljivo i iz izvještaja PVRIO.</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Financijska imovina u 2020. godini smanjena je u odnosu na prethodno razdoblje za </w:t>
      </w:r>
      <w:r w:rsidRPr="001A3705">
        <w:rPr>
          <w:rFonts w:ascii="Times New Roman" w:hAnsi="Times New Roman"/>
          <w:sz w:val="24"/>
          <w:szCs w:val="24"/>
        </w:rPr>
        <w:t>1</w:t>
      </w:r>
      <w:r w:rsidR="001A3705" w:rsidRPr="001A3705">
        <w:rPr>
          <w:rFonts w:ascii="Times New Roman" w:hAnsi="Times New Roman"/>
          <w:sz w:val="24"/>
          <w:szCs w:val="24"/>
        </w:rPr>
        <w:t>2</w:t>
      </w:r>
      <w:r w:rsidRPr="001A3705">
        <w:rPr>
          <w:rFonts w:ascii="Times New Roman" w:hAnsi="Times New Roman"/>
          <w:sz w:val="24"/>
          <w:szCs w:val="24"/>
        </w:rPr>
        <w:t>,3%,</w:t>
      </w:r>
      <w:r w:rsidRPr="008C43BA">
        <w:rPr>
          <w:rFonts w:ascii="Times New Roman" w:hAnsi="Times New Roman"/>
          <w:sz w:val="24"/>
          <w:szCs w:val="24"/>
        </w:rPr>
        <w:t xml:space="preserve"> a značajne promjene odnose se na ostala potraživanja na AOP  081 u okviru kojih su evidentirana plaćanja dobavljača za koja još nisu obavljene isporuke te se isto očekuje kroz 2021. godinu. Evidentirano je smanjenje potraživanja za prihode od obavljanja kazališne djelatnosti iskazano na AOP 153 zbog manjeg opsega poslovanja u 2020. godini uzrokovanog pandemijom koronavirusa te naplatom potraživanja iz prethodnih razdoblja.</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lastRenderedPageBreak/>
        <w:t>Na AOP 157 vidljiv je ispravak potraživanja za sva potraživanja starija od godine dane, a u skladu s važećim propisima na području proračunskog računovodstva. U skladu s propisima evidentirana je i obveza za plaću iz prosinca 2020. godine isplaćena u siječnju 2021., a ista je prikazana na AOP 164 i bilježi smanjenje od 4,8% u odnosu na prethodno razdoblje.</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Obveze HNK u Šibeniku na kraj 2020. godine </w:t>
      </w:r>
      <w:r w:rsidRPr="001A3705">
        <w:rPr>
          <w:rFonts w:ascii="Times New Roman" w:hAnsi="Times New Roman"/>
          <w:sz w:val="24"/>
          <w:szCs w:val="24"/>
        </w:rPr>
        <w:t>iznose 769.464 te</w:t>
      </w:r>
      <w:r w:rsidRPr="008C43BA">
        <w:rPr>
          <w:rFonts w:ascii="Times New Roman" w:hAnsi="Times New Roman"/>
          <w:sz w:val="24"/>
          <w:szCs w:val="24"/>
        </w:rPr>
        <w:t xml:space="preserve"> su manje za 31,7% u odnosu na prethodno razdoblje. Pandemija koronavirusa te pridržavanje propisa u svrhu spriječavanja iste dovela su do manjeg obima poslovanja, a od strane osnivača izvršavano je plaćanje obveza u skladu s prošlogodišnjom dinamikom. </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Na AOP 171 evidentirane su obveze za zaposlene koje se odnose na plaću za prosinac 2020. godine isplaćenu u siječnju 2021.. Na AOP 172 iskazane su također i tekuće (režijske) obveze za prosinac 2020. godine, ali i obveze za redovno poslovanje, dok su na AOP 176 iskazane obveze za zatezne kamate, a na AOP 180 ostale tekuće obveze koje se većim dijelom odnose na povrat u nadležni proračun za isplaćene plaće na teret HZZO i više plaćene doprinose.</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U 2020. godini, kao što je ranije spomenuto, obavljene su nabave nefinancijske imovine od kojih je većina plaćena prema predračunu, a u skladu s Odlukom o izvršenju proračuna grada Šibenika, a ostatak neplaćenih obveza vidljiv je na AOP 181 Obveze za nabavu nefinancijske imovine.</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Vlastiti izvori iskazani su na AOP 229 u iznosu od </w:t>
      </w:r>
      <w:r w:rsidR="001A3705">
        <w:rPr>
          <w:rFonts w:ascii="Times New Roman" w:hAnsi="Times New Roman"/>
          <w:sz w:val="24"/>
          <w:szCs w:val="24"/>
        </w:rPr>
        <w:t>1.090.970 kn</w:t>
      </w:r>
      <w:r w:rsidRPr="008C43BA">
        <w:rPr>
          <w:rFonts w:ascii="Times New Roman" w:hAnsi="Times New Roman"/>
          <w:sz w:val="24"/>
          <w:szCs w:val="24"/>
        </w:rPr>
        <w:t xml:space="preserve"> i predstavljaju knjigovodstvenu vrijednost imovine iskazane na AOP 232 i obračunatih prihoda poslovanja iskazanih na AOP 246 umanjeno za financijsk rezultat poslovanja odnosno višak/manjak prihoda iskazanih na AOP 238 i 242.</w:t>
      </w: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Članak 14. Pravilnika propisuje obvezne bilješke uz Bilancu koje je potrebno iskazati u tablicama, a to su:</w:t>
      </w:r>
    </w:p>
    <w:p w:rsidR="008C43BA" w:rsidRPr="008C43BA" w:rsidRDefault="008C43BA" w:rsidP="008C43BA">
      <w:pPr>
        <w:pStyle w:val="ListParagraph"/>
        <w:numPr>
          <w:ilvl w:val="0"/>
          <w:numId w:val="2"/>
        </w:numPr>
        <w:spacing w:after="120" w:line="276" w:lineRule="auto"/>
        <w:jc w:val="both"/>
        <w:rPr>
          <w:rFonts w:ascii="Times New Roman" w:hAnsi="Times New Roman"/>
          <w:b/>
          <w:sz w:val="24"/>
          <w:szCs w:val="24"/>
        </w:rPr>
      </w:pPr>
      <w:r w:rsidRPr="008C43BA">
        <w:rPr>
          <w:rFonts w:ascii="Times New Roman" w:hAnsi="Times New Roman"/>
          <w:b/>
          <w:sz w:val="24"/>
          <w:szCs w:val="24"/>
        </w:rPr>
        <w:t>Popis ugovornih odnosa koji uz ispunjenje određenih uvjeta mogu postati obveza</w:t>
      </w: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Hrvatsko narodno kazalište u Šibeniku nema ugovorne odnose koji mogu postati obveza u narednom periodu.</w:t>
      </w:r>
    </w:p>
    <w:p w:rsidR="008C43BA" w:rsidRPr="008C43BA" w:rsidRDefault="008C43BA" w:rsidP="008C43BA">
      <w:pPr>
        <w:spacing w:after="120" w:line="276" w:lineRule="auto"/>
        <w:jc w:val="both"/>
        <w:rPr>
          <w:rFonts w:ascii="Times New Roman" w:hAnsi="Times New Roman"/>
          <w:sz w:val="24"/>
          <w:szCs w:val="24"/>
        </w:rPr>
      </w:pPr>
    </w:p>
    <w:p w:rsidR="008C43BA" w:rsidRDefault="008C43BA" w:rsidP="008C43BA">
      <w:pPr>
        <w:pStyle w:val="ListParagraph"/>
        <w:numPr>
          <w:ilvl w:val="0"/>
          <w:numId w:val="2"/>
        </w:numPr>
        <w:spacing w:after="120" w:line="276" w:lineRule="auto"/>
        <w:jc w:val="both"/>
        <w:rPr>
          <w:rFonts w:ascii="Times New Roman" w:hAnsi="Times New Roman"/>
          <w:b/>
          <w:sz w:val="24"/>
          <w:szCs w:val="24"/>
        </w:rPr>
      </w:pPr>
      <w:r w:rsidRPr="008C43BA">
        <w:rPr>
          <w:rFonts w:ascii="Times New Roman" w:hAnsi="Times New Roman"/>
          <w:b/>
          <w:sz w:val="24"/>
          <w:szCs w:val="24"/>
        </w:rPr>
        <w:t>Popis ugovornih odnosa koji uz ispunjenje određenih uvjeta mogu postati imovina</w:t>
      </w:r>
    </w:p>
    <w:p w:rsidR="008C43BA" w:rsidRPr="008C43BA" w:rsidRDefault="008C43BA" w:rsidP="008C43BA">
      <w:pPr>
        <w:pStyle w:val="ListParagraph"/>
        <w:spacing w:after="120" w:line="276" w:lineRule="auto"/>
        <w:jc w:val="both"/>
        <w:rPr>
          <w:rFonts w:ascii="Times New Roman" w:hAnsi="Times New Roman"/>
          <w:b/>
          <w:sz w:val="24"/>
          <w:szCs w:val="24"/>
        </w:rPr>
      </w:pPr>
    </w:p>
    <w:p w:rsid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 xml:space="preserve">Hrvatsko narodno kazalište u Šibeniku ima </w:t>
      </w:r>
      <w:r>
        <w:rPr>
          <w:rFonts w:ascii="Times New Roman" w:hAnsi="Times New Roman"/>
          <w:sz w:val="24"/>
          <w:szCs w:val="24"/>
        </w:rPr>
        <w:t>jedan ugovorni odnos prikazan u tablici:</w:t>
      </w:r>
    </w:p>
    <w:p w:rsidR="008C43BA" w:rsidRDefault="008C43BA" w:rsidP="008C43BA">
      <w:pPr>
        <w:spacing w:after="120" w:line="276" w:lineRule="auto"/>
        <w:jc w:val="both"/>
        <w:rPr>
          <w:rFonts w:ascii="Times New Roman" w:hAnsi="Times New Roman"/>
          <w:sz w:val="24"/>
          <w:szCs w:val="24"/>
        </w:rPr>
      </w:pPr>
    </w:p>
    <w:tbl>
      <w:tblPr>
        <w:tblStyle w:val="TableGrid"/>
        <w:tblW w:w="0" w:type="auto"/>
        <w:tblLook w:val="04A0"/>
      </w:tblPr>
      <w:tblGrid>
        <w:gridCol w:w="609"/>
        <w:gridCol w:w="1014"/>
        <w:gridCol w:w="1180"/>
        <w:gridCol w:w="1158"/>
        <w:gridCol w:w="1003"/>
        <w:gridCol w:w="1037"/>
        <w:gridCol w:w="1114"/>
        <w:gridCol w:w="1037"/>
        <w:gridCol w:w="1136"/>
      </w:tblGrid>
      <w:tr w:rsidR="008C43BA" w:rsidRPr="008C43BA" w:rsidTr="008C43BA">
        <w:tc>
          <w:tcPr>
            <w:tcW w:w="760"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Red. br.</w:t>
            </w:r>
          </w:p>
        </w:tc>
        <w:tc>
          <w:tcPr>
            <w:tcW w:w="1022"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Datum primanja jamstva</w:t>
            </w:r>
          </w:p>
        </w:tc>
        <w:tc>
          <w:tcPr>
            <w:tcW w:w="1183"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Instrument osiguranja</w:t>
            </w:r>
          </w:p>
        </w:tc>
        <w:tc>
          <w:tcPr>
            <w:tcW w:w="1161"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Iznos primljenog jamstva</w:t>
            </w:r>
          </w:p>
        </w:tc>
        <w:tc>
          <w:tcPr>
            <w:tcW w:w="971"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Davatelj jamstva</w:t>
            </w:r>
          </w:p>
        </w:tc>
        <w:tc>
          <w:tcPr>
            <w:tcW w:w="1007"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Namjena</w:t>
            </w:r>
          </w:p>
        </w:tc>
        <w:tc>
          <w:tcPr>
            <w:tcW w:w="1117"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Dokument</w:t>
            </w:r>
          </w:p>
        </w:tc>
        <w:tc>
          <w:tcPr>
            <w:tcW w:w="928"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Rok važenja</w:t>
            </w:r>
          </w:p>
        </w:tc>
        <w:tc>
          <w:tcPr>
            <w:tcW w:w="1139" w:type="dxa"/>
            <w:vAlign w:val="center"/>
          </w:tcPr>
          <w:p w:rsidR="008C43BA" w:rsidRPr="008C43BA" w:rsidRDefault="008C43BA" w:rsidP="008C43BA">
            <w:pPr>
              <w:spacing w:after="120" w:line="276" w:lineRule="auto"/>
              <w:jc w:val="center"/>
              <w:rPr>
                <w:rFonts w:ascii="Times New Roman" w:hAnsi="Times New Roman"/>
                <w:b/>
                <w:sz w:val="20"/>
                <w:szCs w:val="24"/>
              </w:rPr>
            </w:pPr>
            <w:r w:rsidRPr="008C43BA">
              <w:rPr>
                <w:rFonts w:ascii="Times New Roman" w:hAnsi="Times New Roman"/>
                <w:b/>
                <w:sz w:val="20"/>
                <w:szCs w:val="24"/>
              </w:rPr>
              <w:t>Napomena</w:t>
            </w:r>
          </w:p>
        </w:tc>
      </w:tr>
      <w:tr w:rsidR="008C43BA" w:rsidRPr="00856782" w:rsidTr="008C43BA">
        <w:tc>
          <w:tcPr>
            <w:tcW w:w="760" w:type="dxa"/>
            <w:vAlign w:val="center"/>
          </w:tcPr>
          <w:p w:rsidR="008C43BA" w:rsidRPr="00856782" w:rsidRDefault="008C43BA" w:rsidP="008C43BA">
            <w:pPr>
              <w:spacing w:after="120" w:line="276" w:lineRule="auto"/>
              <w:jc w:val="center"/>
              <w:rPr>
                <w:rFonts w:ascii="Times New Roman" w:hAnsi="Times New Roman"/>
                <w:sz w:val="20"/>
                <w:szCs w:val="24"/>
              </w:rPr>
            </w:pPr>
            <w:r w:rsidRPr="00856782">
              <w:rPr>
                <w:rFonts w:ascii="Times New Roman" w:hAnsi="Times New Roman"/>
                <w:sz w:val="20"/>
                <w:szCs w:val="24"/>
              </w:rPr>
              <w:t>1.</w:t>
            </w:r>
          </w:p>
        </w:tc>
        <w:tc>
          <w:tcPr>
            <w:tcW w:w="1022" w:type="dxa"/>
            <w:vAlign w:val="center"/>
          </w:tcPr>
          <w:p w:rsidR="008C43BA" w:rsidRDefault="00562261" w:rsidP="008C43BA">
            <w:pPr>
              <w:spacing w:after="120" w:line="276" w:lineRule="auto"/>
              <w:jc w:val="center"/>
              <w:rPr>
                <w:rFonts w:ascii="Times New Roman" w:hAnsi="Times New Roman"/>
                <w:sz w:val="20"/>
                <w:szCs w:val="24"/>
              </w:rPr>
            </w:pPr>
            <w:r>
              <w:rPr>
                <w:rFonts w:ascii="Times New Roman" w:hAnsi="Times New Roman"/>
                <w:sz w:val="20"/>
                <w:szCs w:val="24"/>
              </w:rPr>
              <w:t>29.10.</w:t>
            </w:r>
          </w:p>
          <w:p w:rsidR="00562261" w:rsidRPr="00856782" w:rsidRDefault="00562261" w:rsidP="008C43BA">
            <w:pPr>
              <w:spacing w:after="120" w:line="276" w:lineRule="auto"/>
              <w:jc w:val="center"/>
              <w:rPr>
                <w:rFonts w:ascii="Times New Roman" w:hAnsi="Times New Roman"/>
                <w:sz w:val="20"/>
                <w:szCs w:val="24"/>
              </w:rPr>
            </w:pPr>
            <w:r>
              <w:rPr>
                <w:rFonts w:ascii="Times New Roman" w:hAnsi="Times New Roman"/>
                <w:sz w:val="20"/>
                <w:szCs w:val="24"/>
              </w:rPr>
              <w:t>2020.</w:t>
            </w:r>
          </w:p>
        </w:tc>
        <w:tc>
          <w:tcPr>
            <w:tcW w:w="1183" w:type="dxa"/>
            <w:vAlign w:val="center"/>
          </w:tcPr>
          <w:p w:rsidR="008C43BA" w:rsidRPr="00856782" w:rsidRDefault="00562261" w:rsidP="008C43BA">
            <w:pPr>
              <w:spacing w:after="120" w:line="276" w:lineRule="auto"/>
              <w:jc w:val="center"/>
              <w:rPr>
                <w:rFonts w:ascii="Times New Roman" w:hAnsi="Times New Roman"/>
                <w:sz w:val="20"/>
                <w:szCs w:val="24"/>
              </w:rPr>
            </w:pPr>
            <w:r>
              <w:rPr>
                <w:rFonts w:ascii="Times New Roman" w:hAnsi="Times New Roman"/>
                <w:sz w:val="20"/>
                <w:szCs w:val="24"/>
              </w:rPr>
              <w:t>Bjanko zadužnica</w:t>
            </w:r>
          </w:p>
        </w:tc>
        <w:tc>
          <w:tcPr>
            <w:tcW w:w="1161" w:type="dxa"/>
            <w:vAlign w:val="center"/>
          </w:tcPr>
          <w:p w:rsidR="008C43BA" w:rsidRPr="00856782" w:rsidRDefault="00562261" w:rsidP="008C43BA">
            <w:pPr>
              <w:spacing w:after="120" w:line="276" w:lineRule="auto"/>
              <w:jc w:val="center"/>
              <w:rPr>
                <w:rFonts w:ascii="Times New Roman" w:hAnsi="Times New Roman"/>
                <w:sz w:val="20"/>
                <w:szCs w:val="24"/>
              </w:rPr>
            </w:pPr>
            <w:r>
              <w:rPr>
                <w:rFonts w:ascii="Times New Roman" w:hAnsi="Times New Roman"/>
                <w:sz w:val="20"/>
                <w:szCs w:val="24"/>
              </w:rPr>
              <w:t>50.000,00</w:t>
            </w:r>
          </w:p>
        </w:tc>
        <w:tc>
          <w:tcPr>
            <w:tcW w:w="971" w:type="dxa"/>
            <w:vAlign w:val="center"/>
          </w:tcPr>
          <w:p w:rsidR="008C43BA" w:rsidRPr="00856782" w:rsidRDefault="00856782" w:rsidP="008C43BA">
            <w:pPr>
              <w:spacing w:after="120" w:line="276" w:lineRule="auto"/>
              <w:jc w:val="center"/>
              <w:rPr>
                <w:rFonts w:ascii="Times New Roman" w:hAnsi="Times New Roman"/>
                <w:sz w:val="20"/>
                <w:szCs w:val="24"/>
              </w:rPr>
            </w:pPr>
            <w:r w:rsidRPr="00856782">
              <w:rPr>
                <w:rFonts w:ascii="Times New Roman" w:hAnsi="Times New Roman"/>
                <w:sz w:val="20"/>
                <w:szCs w:val="24"/>
              </w:rPr>
              <w:t>STINA ŠIBENIK</w:t>
            </w:r>
          </w:p>
        </w:tc>
        <w:tc>
          <w:tcPr>
            <w:tcW w:w="1007" w:type="dxa"/>
            <w:vAlign w:val="center"/>
          </w:tcPr>
          <w:p w:rsidR="008C43BA" w:rsidRPr="00856782" w:rsidRDefault="00856782" w:rsidP="008C43BA">
            <w:pPr>
              <w:spacing w:after="120" w:line="276" w:lineRule="auto"/>
              <w:jc w:val="center"/>
              <w:rPr>
                <w:rFonts w:ascii="Times New Roman" w:hAnsi="Times New Roman"/>
                <w:sz w:val="20"/>
                <w:szCs w:val="24"/>
              </w:rPr>
            </w:pPr>
            <w:r>
              <w:rPr>
                <w:rFonts w:ascii="Times New Roman" w:hAnsi="Times New Roman"/>
                <w:sz w:val="20"/>
                <w:szCs w:val="24"/>
              </w:rPr>
              <w:t>Jamstvo za uredno ispunjenj</w:t>
            </w:r>
            <w:r>
              <w:rPr>
                <w:rFonts w:ascii="Times New Roman" w:hAnsi="Times New Roman"/>
                <w:sz w:val="20"/>
                <w:szCs w:val="24"/>
              </w:rPr>
              <w:lastRenderedPageBreak/>
              <w:t>e ugovora</w:t>
            </w:r>
          </w:p>
        </w:tc>
        <w:tc>
          <w:tcPr>
            <w:tcW w:w="1117" w:type="dxa"/>
            <w:vAlign w:val="center"/>
          </w:tcPr>
          <w:p w:rsidR="008C43BA" w:rsidRPr="00856782" w:rsidRDefault="00856782" w:rsidP="008C43BA">
            <w:pPr>
              <w:spacing w:after="120" w:line="276" w:lineRule="auto"/>
              <w:jc w:val="center"/>
              <w:rPr>
                <w:rFonts w:ascii="Times New Roman" w:hAnsi="Times New Roman"/>
                <w:sz w:val="20"/>
                <w:szCs w:val="24"/>
              </w:rPr>
            </w:pPr>
            <w:r>
              <w:rPr>
                <w:rFonts w:ascii="Times New Roman" w:hAnsi="Times New Roman"/>
                <w:sz w:val="20"/>
                <w:szCs w:val="24"/>
              </w:rPr>
              <w:lastRenderedPageBreak/>
              <w:t xml:space="preserve">Ugovor o izvođenju radova – </w:t>
            </w:r>
            <w:r>
              <w:rPr>
                <w:rFonts w:ascii="Times New Roman" w:hAnsi="Times New Roman"/>
                <w:sz w:val="20"/>
                <w:szCs w:val="24"/>
              </w:rPr>
              <w:lastRenderedPageBreak/>
              <w:t>Projekt interijera spomen sobe Ive Brešana – I. faza</w:t>
            </w:r>
          </w:p>
        </w:tc>
        <w:tc>
          <w:tcPr>
            <w:tcW w:w="928" w:type="dxa"/>
            <w:vAlign w:val="center"/>
          </w:tcPr>
          <w:p w:rsidR="008C43BA" w:rsidRPr="00856782" w:rsidRDefault="001A3705" w:rsidP="008C43BA">
            <w:pPr>
              <w:spacing w:after="120" w:line="276" w:lineRule="auto"/>
              <w:jc w:val="center"/>
              <w:rPr>
                <w:rFonts w:ascii="Times New Roman" w:hAnsi="Times New Roman"/>
                <w:sz w:val="20"/>
                <w:szCs w:val="24"/>
              </w:rPr>
            </w:pPr>
            <w:r>
              <w:rPr>
                <w:rFonts w:ascii="Times New Roman" w:hAnsi="Times New Roman"/>
                <w:sz w:val="20"/>
                <w:szCs w:val="24"/>
              </w:rPr>
              <w:lastRenderedPageBreak/>
              <w:t xml:space="preserve">Do ispunjenja obveza </w:t>
            </w:r>
            <w:r>
              <w:rPr>
                <w:rFonts w:ascii="Times New Roman" w:hAnsi="Times New Roman"/>
                <w:sz w:val="20"/>
                <w:szCs w:val="24"/>
              </w:rPr>
              <w:lastRenderedPageBreak/>
              <w:t>iz Ugovora</w:t>
            </w:r>
          </w:p>
        </w:tc>
        <w:tc>
          <w:tcPr>
            <w:tcW w:w="1139" w:type="dxa"/>
            <w:vAlign w:val="center"/>
          </w:tcPr>
          <w:p w:rsidR="008C43BA" w:rsidRPr="00856782" w:rsidRDefault="008C43BA" w:rsidP="008C43BA">
            <w:pPr>
              <w:spacing w:after="120" w:line="276" w:lineRule="auto"/>
              <w:jc w:val="center"/>
              <w:rPr>
                <w:rFonts w:ascii="Times New Roman" w:hAnsi="Times New Roman"/>
                <w:sz w:val="20"/>
                <w:szCs w:val="24"/>
              </w:rPr>
            </w:pPr>
          </w:p>
        </w:tc>
      </w:tr>
      <w:tr w:rsidR="008C43BA" w:rsidTr="008C43BA">
        <w:tc>
          <w:tcPr>
            <w:tcW w:w="2965" w:type="dxa"/>
            <w:gridSpan w:val="3"/>
            <w:vAlign w:val="center"/>
          </w:tcPr>
          <w:p w:rsidR="008C43BA" w:rsidRPr="008C43BA" w:rsidRDefault="008C43BA" w:rsidP="008C43BA">
            <w:pPr>
              <w:spacing w:after="120" w:line="276" w:lineRule="auto"/>
              <w:jc w:val="right"/>
              <w:rPr>
                <w:rFonts w:ascii="Times New Roman" w:hAnsi="Times New Roman"/>
                <w:b/>
                <w:sz w:val="24"/>
                <w:szCs w:val="24"/>
              </w:rPr>
            </w:pPr>
            <w:r>
              <w:rPr>
                <w:rFonts w:ascii="Times New Roman" w:hAnsi="Times New Roman"/>
                <w:b/>
                <w:sz w:val="24"/>
                <w:szCs w:val="24"/>
              </w:rPr>
              <w:lastRenderedPageBreak/>
              <w:t>UKUPNO</w:t>
            </w:r>
          </w:p>
        </w:tc>
        <w:tc>
          <w:tcPr>
            <w:tcW w:w="6323" w:type="dxa"/>
            <w:gridSpan w:val="6"/>
            <w:vAlign w:val="center"/>
          </w:tcPr>
          <w:p w:rsidR="008C43BA" w:rsidRDefault="00562261" w:rsidP="008C43BA">
            <w:pPr>
              <w:spacing w:after="120" w:line="276" w:lineRule="auto"/>
              <w:rPr>
                <w:rFonts w:ascii="Times New Roman" w:hAnsi="Times New Roman"/>
                <w:sz w:val="24"/>
                <w:szCs w:val="24"/>
              </w:rPr>
            </w:pPr>
            <w:r>
              <w:rPr>
                <w:rFonts w:ascii="Times New Roman" w:hAnsi="Times New Roman"/>
                <w:sz w:val="24"/>
                <w:szCs w:val="24"/>
              </w:rPr>
              <w:t>50.000,00</w:t>
            </w:r>
          </w:p>
        </w:tc>
      </w:tr>
    </w:tbl>
    <w:p w:rsidR="008C43BA" w:rsidRDefault="008C43BA" w:rsidP="008C43BA">
      <w:pPr>
        <w:spacing w:after="120" w:line="276" w:lineRule="auto"/>
        <w:jc w:val="both"/>
        <w:rPr>
          <w:rFonts w:ascii="Times New Roman" w:hAnsi="Times New Roman"/>
          <w:sz w:val="24"/>
          <w:szCs w:val="24"/>
        </w:rPr>
      </w:pPr>
    </w:p>
    <w:p w:rsidR="008C43BA" w:rsidRPr="008C43BA" w:rsidRDefault="008C43BA" w:rsidP="008C43BA">
      <w:pPr>
        <w:pStyle w:val="ListParagraph"/>
        <w:numPr>
          <w:ilvl w:val="0"/>
          <w:numId w:val="2"/>
        </w:numPr>
        <w:spacing w:after="120" w:line="276" w:lineRule="auto"/>
        <w:jc w:val="both"/>
        <w:rPr>
          <w:rFonts w:ascii="Times New Roman" w:hAnsi="Times New Roman"/>
          <w:b/>
          <w:sz w:val="24"/>
          <w:szCs w:val="24"/>
        </w:rPr>
      </w:pPr>
      <w:r w:rsidRPr="008C43BA">
        <w:rPr>
          <w:rFonts w:ascii="Times New Roman" w:hAnsi="Times New Roman"/>
          <w:b/>
          <w:sz w:val="24"/>
          <w:szCs w:val="24"/>
        </w:rPr>
        <w:t>Popis sudskih sporova u tijeku</w:t>
      </w:r>
    </w:p>
    <w:p w:rsidR="008C43BA" w:rsidRPr="008C43BA" w:rsidRDefault="008C43BA" w:rsidP="008C43BA">
      <w:pPr>
        <w:spacing w:after="120" w:line="276" w:lineRule="auto"/>
        <w:jc w:val="both"/>
        <w:rPr>
          <w:rFonts w:ascii="Times New Roman" w:hAnsi="Times New Roman"/>
          <w:sz w:val="24"/>
          <w:szCs w:val="24"/>
        </w:rPr>
      </w:pPr>
      <w:r w:rsidRPr="008C43BA">
        <w:rPr>
          <w:rFonts w:ascii="Times New Roman" w:hAnsi="Times New Roman"/>
          <w:sz w:val="24"/>
          <w:szCs w:val="24"/>
        </w:rPr>
        <w:t>Hrvatsko narodno kazalište u Šibeniku ima u tijeku jedan sudski spor koji je kao takav evidentiran u sklopu AOP 250, a u nastavku je dan tablični prikaz:</w:t>
      </w:r>
    </w:p>
    <w:p w:rsidR="008C43BA" w:rsidRPr="008C43BA" w:rsidRDefault="008C43BA" w:rsidP="008C43BA">
      <w:pPr>
        <w:pStyle w:val="ListParagraph"/>
        <w:spacing w:after="120"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388"/>
        <w:gridCol w:w="1637"/>
        <w:gridCol w:w="1538"/>
        <w:gridCol w:w="1276"/>
        <w:gridCol w:w="992"/>
        <w:gridCol w:w="1667"/>
      </w:tblGrid>
      <w:tr w:rsidR="008C43BA" w:rsidRPr="008C43BA" w:rsidTr="008C43BA">
        <w:tc>
          <w:tcPr>
            <w:tcW w:w="790"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Redni broj</w:t>
            </w:r>
          </w:p>
        </w:tc>
        <w:tc>
          <w:tcPr>
            <w:tcW w:w="1388"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Vrsta sudskog spora</w:t>
            </w:r>
          </w:p>
        </w:tc>
        <w:tc>
          <w:tcPr>
            <w:tcW w:w="1637"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Opis sudskog spora</w:t>
            </w:r>
          </w:p>
        </w:tc>
        <w:tc>
          <w:tcPr>
            <w:tcW w:w="1538"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Status proračunskog spora</w:t>
            </w:r>
          </w:p>
        </w:tc>
        <w:tc>
          <w:tcPr>
            <w:tcW w:w="1276"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Procjena financijskog učinka</w:t>
            </w:r>
          </w:p>
        </w:tc>
        <w:tc>
          <w:tcPr>
            <w:tcW w:w="992"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Imovina ili obveza</w:t>
            </w:r>
          </w:p>
        </w:tc>
        <w:tc>
          <w:tcPr>
            <w:tcW w:w="1667" w:type="dxa"/>
            <w:shd w:val="clear" w:color="auto" w:fill="auto"/>
            <w:vAlign w:val="center"/>
          </w:tcPr>
          <w:p w:rsidR="008C43BA" w:rsidRPr="008C43BA" w:rsidRDefault="008C43BA" w:rsidP="008C43BA">
            <w:pPr>
              <w:spacing w:line="276" w:lineRule="auto"/>
              <w:jc w:val="both"/>
              <w:rPr>
                <w:rFonts w:ascii="Times New Roman" w:hAnsi="Times New Roman"/>
                <w:b/>
                <w:sz w:val="20"/>
                <w:szCs w:val="24"/>
              </w:rPr>
            </w:pPr>
            <w:r w:rsidRPr="008C43BA">
              <w:rPr>
                <w:rFonts w:ascii="Times New Roman" w:hAnsi="Times New Roman"/>
                <w:b/>
                <w:sz w:val="20"/>
                <w:szCs w:val="24"/>
              </w:rPr>
              <w:t>Potencijalno vrijeme priljeva ili odljeva</w:t>
            </w:r>
          </w:p>
        </w:tc>
      </w:tr>
      <w:tr w:rsidR="008C43BA" w:rsidRPr="008C43BA" w:rsidTr="008C43BA">
        <w:tc>
          <w:tcPr>
            <w:tcW w:w="790"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1.</w:t>
            </w:r>
          </w:p>
        </w:tc>
        <w:tc>
          <w:tcPr>
            <w:tcW w:w="1388"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Spor vezan uz materijalna prava radnika</w:t>
            </w:r>
          </w:p>
        </w:tc>
        <w:tc>
          <w:tcPr>
            <w:tcW w:w="1637"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Djelatnica HNK u Šibeniku podnijela je tužbu, a za nepotpunu isplatu troškova službenih putovanja</w:t>
            </w:r>
          </w:p>
        </w:tc>
        <w:tc>
          <w:tcPr>
            <w:tcW w:w="1538"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Tuženik</w:t>
            </w:r>
          </w:p>
        </w:tc>
        <w:tc>
          <w:tcPr>
            <w:tcW w:w="1276"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37.798,28 kn</w:t>
            </w:r>
          </w:p>
        </w:tc>
        <w:tc>
          <w:tcPr>
            <w:tcW w:w="992"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Obveza</w:t>
            </w:r>
          </w:p>
        </w:tc>
        <w:tc>
          <w:tcPr>
            <w:tcW w:w="1667" w:type="dxa"/>
            <w:shd w:val="clear" w:color="auto" w:fill="auto"/>
            <w:vAlign w:val="center"/>
          </w:tcPr>
          <w:p w:rsidR="008C43BA" w:rsidRPr="008C43BA" w:rsidRDefault="008C43BA" w:rsidP="008C43BA">
            <w:pPr>
              <w:spacing w:line="276" w:lineRule="auto"/>
              <w:jc w:val="both"/>
              <w:rPr>
                <w:rFonts w:ascii="Times New Roman" w:hAnsi="Times New Roman"/>
                <w:szCs w:val="24"/>
              </w:rPr>
            </w:pPr>
            <w:r w:rsidRPr="008C43BA">
              <w:rPr>
                <w:rFonts w:ascii="Times New Roman" w:hAnsi="Times New Roman"/>
                <w:szCs w:val="24"/>
              </w:rPr>
              <w:t>Odljev u tijeku 2021.</w:t>
            </w:r>
          </w:p>
        </w:tc>
      </w:tr>
      <w:tr w:rsidR="008C43BA" w:rsidRPr="008C43BA" w:rsidTr="008C43BA">
        <w:tc>
          <w:tcPr>
            <w:tcW w:w="5353" w:type="dxa"/>
            <w:gridSpan w:val="4"/>
            <w:shd w:val="clear" w:color="auto" w:fill="auto"/>
          </w:tcPr>
          <w:p w:rsidR="008C43BA" w:rsidRPr="008C43BA" w:rsidRDefault="008C43BA" w:rsidP="008C43BA">
            <w:pPr>
              <w:spacing w:line="276" w:lineRule="auto"/>
              <w:jc w:val="both"/>
              <w:rPr>
                <w:rFonts w:ascii="Times New Roman" w:hAnsi="Times New Roman"/>
                <w:b/>
                <w:sz w:val="24"/>
                <w:szCs w:val="24"/>
              </w:rPr>
            </w:pPr>
            <w:r w:rsidRPr="008C43BA">
              <w:rPr>
                <w:rFonts w:ascii="Times New Roman" w:hAnsi="Times New Roman"/>
                <w:b/>
                <w:sz w:val="24"/>
                <w:szCs w:val="24"/>
              </w:rPr>
              <w:t>UKUPNO</w:t>
            </w:r>
          </w:p>
        </w:tc>
        <w:tc>
          <w:tcPr>
            <w:tcW w:w="3935" w:type="dxa"/>
            <w:gridSpan w:val="3"/>
            <w:shd w:val="clear" w:color="auto" w:fill="auto"/>
          </w:tcPr>
          <w:p w:rsidR="008C43BA" w:rsidRPr="008C43BA" w:rsidRDefault="008C43BA" w:rsidP="008C43BA">
            <w:pPr>
              <w:spacing w:line="276" w:lineRule="auto"/>
              <w:jc w:val="both"/>
              <w:rPr>
                <w:rFonts w:ascii="Times New Roman" w:hAnsi="Times New Roman"/>
                <w:b/>
                <w:sz w:val="24"/>
                <w:szCs w:val="24"/>
              </w:rPr>
            </w:pPr>
            <w:r w:rsidRPr="008C43BA">
              <w:rPr>
                <w:rFonts w:ascii="Times New Roman" w:hAnsi="Times New Roman"/>
                <w:b/>
                <w:sz w:val="24"/>
                <w:szCs w:val="24"/>
              </w:rPr>
              <w:t>37.798,28 kn</w:t>
            </w:r>
          </w:p>
        </w:tc>
      </w:tr>
    </w:tbl>
    <w:p w:rsidR="008C43BA" w:rsidRPr="008C43BA" w:rsidRDefault="008C43BA" w:rsidP="008C43BA">
      <w:pPr>
        <w:spacing w:after="120" w:line="276" w:lineRule="auto"/>
        <w:jc w:val="both"/>
        <w:rPr>
          <w:rFonts w:ascii="Times New Roman" w:hAnsi="Times New Roman"/>
          <w:b/>
          <w:sz w:val="24"/>
          <w:szCs w:val="24"/>
        </w:rPr>
      </w:pPr>
    </w:p>
    <w:p w:rsidR="008C43BA" w:rsidRPr="008C43BA" w:rsidRDefault="008C43BA" w:rsidP="008C43BA">
      <w:pPr>
        <w:pStyle w:val="ListParagraph"/>
        <w:spacing w:line="276" w:lineRule="auto"/>
        <w:ind w:left="0"/>
        <w:jc w:val="both"/>
        <w:rPr>
          <w:rFonts w:ascii="Times New Roman" w:hAnsi="Times New Roman"/>
          <w:sz w:val="24"/>
          <w:szCs w:val="24"/>
        </w:rPr>
      </w:pPr>
    </w:p>
    <w:p w:rsidR="008C43BA" w:rsidRPr="008C43BA" w:rsidRDefault="008C43BA" w:rsidP="008C43BA">
      <w:pPr>
        <w:pStyle w:val="ListParagraph"/>
        <w:spacing w:line="276" w:lineRule="auto"/>
        <w:ind w:left="0"/>
        <w:jc w:val="both"/>
        <w:rPr>
          <w:rFonts w:ascii="Times New Roman" w:hAnsi="Times New Roman"/>
          <w:sz w:val="24"/>
          <w:szCs w:val="24"/>
        </w:rPr>
      </w:pPr>
    </w:p>
    <w:p w:rsidR="008C43BA" w:rsidRPr="008C43BA" w:rsidRDefault="008C43BA" w:rsidP="008C43BA">
      <w:pPr>
        <w:pStyle w:val="ListParagraph"/>
        <w:numPr>
          <w:ilvl w:val="0"/>
          <w:numId w:val="2"/>
        </w:numPr>
        <w:spacing w:line="276" w:lineRule="auto"/>
        <w:jc w:val="both"/>
        <w:rPr>
          <w:rFonts w:ascii="Times New Roman" w:hAnsi="Times New Roman"/>
          <w:b/>
          <w:i/>
          <w:sz w:val="24"/>
          <w:szCs w:val="24"/>
        </w:rPr>
      </w:pPr>
      <w:r w:rsidRPr="008C43BA">
        <w:rPr>
          <w:rFonts w:ascii="Times New Roman" w:hAnsi="Times New Roman"/>
          <w:b/>
          <w:i/>
          <w:sz w:val="24"/>
          <w:szCs w:val="24"/>
        </w:rPr>
        <w:t>BILJEŠKE UZ RAS-F</w:t>
      </w:r>
    </w:p>
    <w:p w:rsidR="008C43BA" w:rsidRPr="008C43BA" w:rsidRDefault="008C43BA" w:rsidP="008C43BA">
      <w:pPr>
        <w:pStyle w:val="ListParagraph"/>
        <w:spacing w:line="276" w:lineRule="auto"/>
        <w:ind w:left="0"/>
        <w:jc w:val="both"/>
        <w:rPr>
          <w:rFonts w:ascii="Times New Roman" w:hAnsi="Times New Roman"/>
          <w:sz w:val="24"/>
          <w:szCs w:val="24"/>
        </w:rPr>
      </w:pPr>
    </w:p>
    <w:p w:rsid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U Izvještaju o rashodima prema funkcijskoj klasifikaciji cjelokupni rashodi HNK u Šibeniku iskazani su na AOP 105 u iznosu od </w:t>
      </w:r>
      <w:r w:rsidR="001A3705">
        <w:rPr>
          <w:rFonts w:ascii="Times New Roman" w:hAnsi="Times New Roman"/>
          <w:sz w:val="24"/>
          <w:szCs w:val="24"/>
        </w:rPr>
        <w:t>5.642.503 kn.</w:t>
      </w:r>
    </w:p>
    <w:p w:rsidR="008C43BA" w:rsidRPr="008C43BA" w:rsidRDefault="008C43BA" w:rsidP="008C43BA">
      <w:pPr>
        <w:spacing w:line="276" w:lineRule="auto"/>
        <w:jc w:val="both"/>
        <w:rPr>
          <w:rFonts w:ascii="Times New Roman" w:hAnsi="Times New Roman"/>
          <w:sz w:val="24"/>
          <w:szCs w:val="24"/>
        </w:rPr>
      </w:pPr>
    </w:p>
    <w:p w:rsidR="008C43BA" w:rsidRPr="008C43BA" w:rsidRDefault="008C43BA" w:rsidP="008C43BA">
      <w:pPr>
        <w:pStyle w:val="ListParagraph"/>
        <w:numPr>
          <w:ilvl w:val="0"/>
          <w:numId w:val="2"/>
        </w:numPr>
        <w:spacing w:line="276" w:lineRule="auto"/>
        <w:jc w:val="both"/>
        <w:rPr>
          <w:rFonts w:ascii="Times New Roman" w:hAnsi="Times New Roman"/>
          <w:b/>
          <w:i/>
          <w:sz w:val="24"/>
          <w:szCs w:val="24"/>
        </w:rPr>
      </w:pPr>
      <w:r w:rsidRPr="008C43BA">
        <w:rPr>
          <w:rFonts w:ascii="Times New Roman" w:hAnsi="Times New Roman"/>
          <w:b/>
          <w:i/>
          <w:sz w:val="24"/>
          <w:szCs w:val="24"/>
        </w:rPr>
        <w:t>BILJEŠKE UZ P-VRIO</w:t>
      </w:r>
    </w:p>
    <w:p w:rsidR="008C43BA" w:rsidRPr="008C43BA" w:rsidRDefault="008C43BA" w:rsidP="008C43BA">
      <w:pPr>
        <w:pStyle w:val="ListParagraph"/>
        <w:spacing w:line="276" w:lineRule="auto"/>
        <w:ind w:left="0"/>
        <w:jc w:val="both"/>
        <w:rPr>
          <w:rFonts w:ascii="Times New Roman" w:hAnsi="Times New Roman"/>
          <w:b/>
          <w:i/>
          <w:sz w:val="24"/>
          <w:szCs w:val="24"/>
        </w:rPr>
      </w:pP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Na AOP 007 iskazano je povećanje vrijednosti Sitnog inventara u iznosu od 271.120 kn koje se odnosi na reviziju fundusa kostima u posjedu HNK u Šibeniku koje je obavljeno u proljeće 2020. godine. Prilikom provedbe izvanrednog popisa određene su nova popisna mjesta i vrijednosti kostima te evidentirano povećanje u Bilanci.</w:t>
      </w:r>
    </w:p>
    <w:p w:rsid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lastRenderedPageBreak/>
        <w:t>Na AOP 032 iskazano je smanjenje Potraživanja za prihode poslovanja u iznosu od 45.262 kn koje se odnosi na nenaplativa potraživanja prihoda od kazališne djelatnosti u iznosu od 22.275 kn i potraživanja od gospodarske djelatnosti (najam kazališta, sponzorski ugovori) u iznosu od 22.987 kn.</w:t>
      </w:r>
    </w:p>
    <w:p w:rsidR="008C43BA" w:rsidRPr="008C43BA" w:rsidRDefault="008C43BA" w:rsidP="008C43BA">
      <w:pPr>
        <w:spacing w:line="276" w:lineRule="auto"/>
        <w:jc w:val="both"/>
        <w:rPr>
          <w:rFonts w:ascii="Times New Roman" w:hAnsi="Times New Roman"/>
          <w:sz w:val="24"/>
          <w:szCs w:val="24"/>
        </w:rPr>
      </w:pPr>
    </w:p>
    <w:p w:rsidR="008C43BA" w:rsidRPr="008C43BA" w:rsidRDefault="008C43BA" w:rsidP="008C43BA">
      <w:pPr>
        <w:pStyle w:val="ListParagraph"/>
        <w:numPr>
          <w:ilvl w:val="0"/>
          <w:numId w:val="2"/>
        </w:numPr>
        <w:spacing w:line="276" w:lineRule="auto"/>
        <w:jc w:val="both"/>
        <w:rPr>
          <w:rFonts w:ascii="Times New Roman" w:hAnsi="Times New Roman"/>
          <w:b/>
          <w:i/>
          <w:sz w:val="24"/>
          <w:szCs w:val="24"/>
        </w:rPr>
      </w:pPr>
      <w:r w:rsidRPr="008C43BA">
        <w:rPr>
          <w:rFonts w:ascii="Times New Roman" w:hAnsi="Times New Roman"/>
          <w:b/>
          <w:i/>
          <w:sz w:val="24"/>
          <w:szCs w:val="24"/>
        </w:rPr>
        <w:t>BILJEŠKE UZ OBVEZE</w:t>
      </w:r>
    </w:p>
    <w:p w:rsidR="008C43BA" w:rsidRPr="008C43BA" w:rsidRDefault="008C43BA" w:rsidP="008C43BA">
      <w:pPr>
        <w:pStyle w:val="ListParagraph"/>
        <w:spacing w:line="276" w:lineRule="auto"/>
        <w:ind w:left="0"/>
        <w:jc w:val="both"/>
        <w:rPr>
          <w:rFonts w:ascii="Times New Roman" w:hAnsi="Times New Roman"/>
          <w:b/>
          <w:i/>
          <w:sz w:val="24"/>
          <w:szCs w:val="24"/>
        </w:rPr>
      </w:pP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Obveze na početku izvještajnog razdoblja na AOP 001 iskazane su u iznosu 1.126.992 kn, a prema podacima u starosnoj strukturi iskazanoj na AOP 036 do AOP 089 vidljivo je da su gotovo potpuno podmirene. Također je podmiren veći dio obveza nastao u 2020. godini iskazan na AOP 002 u iznosu 5.784.819 kn.</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Na AOP 036 iskazano je stanje obveza na kraj godine koje iznose 769.463 kn, od čega su nedospjele obveze iskazane na AOP 090 u iznosu od 503.623 kn odnosno 65,45% obveza je nedospjelo, a dospjele obveze iskazane su na AOP 037 i iznose 265.839 kn. Prema starosnoj strukturi iskazanoj na AOP 036 do AOP 089 može se vidjeti da je veći dio dospjelih obveza, odnosno 57,96% u prekoračenju datuma dospijeća do 60 dana.</w:t>
      </w:r>
    </w:p>
    <w:p w:rsidR="008C43BA" w:rsidRPr="008C43BA" w:rsidRDefault="008C43BA" w:rsidP="008C43BA">
      <w:pPr>
        <w:spacing w:line="276" w:lineRule="auto"/>
        <w:jc w:val="both"/>
        <w:rPr>
          <w:rFonts w:ascii="Times New Roman" w:hAnsi="Times New Roman"/>
          <w:sz w:val="24"/>
          <w:szCs w:val="24"/>
        </w:rPr>
      </w:pPr>
      <w:r w:rsidRPr="008C43BA">
        <w:rPr>
          <w:rFonts w:ascii="Times New Roman" w:hAnsi="Times New Roman"/>
          <w:sz w:val="24"/>
          <w:szCs w:val="24"/>
        </w:rPr>
        <w:t xml:space="preserve">Na AOP 091 u iznosu od 5.890 kn iskazane su obveze za komunalnu naknadu (Grad Šibenik), nadzor nad vatrodojavnom centralom (JVP Šibenik) te obveze za najam onesposobljenog oružja za potrebe predstave (MUP). </w:t>
      </w:r>
    </w:p>
    <w:p w:rsidR="008C43BA" w:rsidRPr="008C43BA" w:rsidRDefault="008C43BA" w:rsidP="008C43BA">
      <w:pPr>
        <w:spacing w:line="276" w:lineRule="auto"/>
        <w:jc w:val="both"/>
        <w:rPr>
          <w:rFonts w:ascii="Times New Roman" w:hAnsi="Times New Roman"/>
          <w:sz w:val="24"/>
          <w:szCs w:val="24"/>
        </w:rPr>
      </w:pPr>
    </w:p>
    <w:p w:rsidR="0084571D" w:rsidRPr="008C43BA" w:rsidRDefault="0084571D" w:rsidP="008C43BA">
      <w:pPr>
        <w:spacing w:line="276" w:lineRule="auto"/>
        <w:jc w:val="both"/>
        <w:rPr>
          <w:rFonts w:ascii="Times New Roman" w:hAnsi="Times New Roman"/>
          <w:sz w:val="24"/>
          <w:szCs w:val="24"/>
        </w:rPr>
      </w:pPr>
    </w:p>
    <w:p w:rsidR="0084571D" w:rsidRPr="008C43BA" w:rsidRDefault="0084571D" w:rsidP="008C43BA">
      <w:pPr>
        <w:spacing w:line="276" w:lineRule="auto"/>
        <w:jc w:val="both"/>
        <w:rPr>
          <w:rFonts w:ascii="Times New Roman" w:hAnsi="Times New Roman"/>
          <w:sz w:val="24"/>
          <w:szCs w:val="24"/>
        </w:rPr>
      </w:pPr>
    </w:p>
    <w:p w:rsidR="0084571D" w:rsidRPr="008C43BA" w:rsidRDefault="005B77CD" w:rsidP="008C43BA">
      <w:pPr>
        <w:spacing w:line="276" w:lineRule="auto"/>
        <w:jc w:val="both"/>
        <w:rPr>
          <w:rFonts w:ascii="Times New Roman" w:hAnsi="Times New Roman"/>
          <w:sz w:val="24"/>
          <w:szCs w:val="24"/>
        </w:rPr>
      </w:pPr>
      <w:r w:rsidRPr="008C43BA">
        <w:rPr>
          <w:rFonts w:ascii="Times New Roman" w:hAnsi="Times New Roman"/>
          <w:sz w:val="24"/>
          <w:szCs w:val="24"/>
        </w:rPr>
        <w:t>Voditelj</w:t>
      </w:r>
      <w:r w:rsidR="009D7E00" w:rsidRPr="008C43BA">
        <w:rPr>
          <w:rFonts w:ascii="Times New Roman" w:hAnsi="Times New Roman"/>
          <w:sz w:val="24"/>
          <w:szCs w:val="24"/>
        </w:rPr>
        <w:t xml:space="preserve"> računovodstva</w:t>
      </w:r>
      <w:r w:rsidR="009D7E00" w:rsidRPr="008C43BA">
        <w:rPr>
          <w:rFonts w:ascii="Times New Roman" w:hAnsi="Times New Roman"/>
          <w:sz w:val="24"/>
          <w:szCs w:val="24"/>
        </w:rPr>
        <w:tab/>
      </w:r>
      <w:r w:rsidR="009D7E00" w:rsidRPr="008C43BA">
        <w:rPr>
          <w:rFonts w:ascii="Times New Roman" w:hAnsi="Times New Roman"/>
          <w:sz w:val="24"/>
          <w:szCs w:val="24"/>
        </w:rPr>
        <w:tab/>
      </w:r>
      <w:r w:rsidR="009D7E00" w:rsidRPr="008C43BA">
        <w:rPr>
          <w:rFonts w:ascii="Times New Roman" w:hAnsi="Times New Roman"/>
          <w:sz w:val="24"/>
          <w:szCs w:val="24"/>
        </w:rPr>
        <w:tab/>
      </w:r>
      <w:r w:rsidR="009D7E00" w:rsidRPr="008C43BA">
        <w:rPr>
          <w:rFonts w:ascii="Times New Roman" w:hAnsi="Times New Roman"/>
          <w:sz w:val="24"/>
          <w:szCs w:val="24"/>
        </w:rPr>
        <w:tab/>
      </w:r>
      <w:r w:rsidR="009D7E00" w:rsidRPr="008C43BA">
        <w:rPr>
          <w:rFonts w:ascii="Times New Roman" w:hAnsi="Times New Roman"/>
          <w:sz w:val="24"/>
          <w:szCs w:val="24"/>
        </w:rPr>
        <w:tab/>
        <w:t>Ravnatelj</w:t>
      </w:r>
      <w:r w:rsidR="0084571D" w:rsidRPr="008C43BA">
        <w:rPr>
          <w:rFonts w:ascii="Times New Roman" w:hAnsi="Times New Roman"/>
          <w:sz w:val="24"/>
          <w:szCs w:val="24"/>
        </w:rPr>
        <w:t xml:space="preserve"> HNK u Šibeniku</w:t>
      </w:r>
    </w:p>
    <w:p w:rsidR="0084571D" w:rsidRPr="008C43BA" w:rsidRDefault="005B77CD" w:rsidP="008C43BA">
      <w:pPr>
        <w:spacing w:line="276" w:lineRule="auto"/>
        <w:jc w:val="both"/>
        <w:rPr>
          <w:rFonts w:ascii="Times New Roman" w:hAnsi="Times New Roman"/>
          <w:sz w:val="24"/>
          <w:szCs w:val="24"/>
        </w:rPr>
      </w:pPr>
      <w:r w:rsidRPr="008C43BA">
        <w:rPr>
          <w:rFonts w:ascii="Times New Roman" w:hAnsi="Times New Roman"/>
          <w:sz w:val="24"/>
          <w:szCs w:val="24"/>
        </w:rPr>
        <w:t>Josip Jadran Sekso</w:t>
      </w:r>
      <w:r w:rsidR="009D7E00" w:rsidRPr="008C43BA">
        <w:rPr>
          <w:rFonts w:ascii="Times New Roman" w:hAnsi="Times New Roman"/>
          <w:sz w:val="24"/>
          <w:szCs w:val="24"/>
        </w:rPr>
        <w:t>, mag.oec.</w:t>
      </w:r>
      <w:r w:rsidR="009D7E00" w:rsidRPr="008C43BA">
        <w:rPr>
          <w:rFonts w:ascii="Times New Roman" w:hAnsi="Times New Roman"/>
          <w:sz w:val="24"/>
          <w:szCs w:val="24"/>
        </w:rPr>
        <w:tab/>
      </w:r>
      <w:r w:rsidR="009D7E00" w:rsidRPr="008C43BA">
        <w:rPr>
          <w:rFonts w:ascii="Times New Roman" w:hAnsi="Times New Roman"/>
          <w:sz w:val="24"/>
          <w:szCs w:val="24"/>
        </w:rPr>
        <w:tab/>
      </w:r>
      <w:r w:rsidR="009D7E00" w:rsidRPr="008C43BA">
        <w:rPr>
          <w:rFonts w:ascii="Times New Roman" w:hAnsi="Times New Roman"/>
          <w:sz w:val="24"/>
          <w:szCs w:val="24"/>
        </w:rPr>
        <w:tab/>
      </w:r>
      <w:r w:rsidR="009D7E00" w:rsidRPr="008C43BA">
        <w:rPr>
          <w:rFonts w:ascii="Times New Roman" w:hAnsi="Times New Roman"/>
          <w:sz w:val="24"/>
          <w:szCs w:val="24"/>
        </w:rPr>
        <w:tab/>
        <w:t xml:space="preserve">       </w:t>
      </w:r>
      <w:r w:rsidRPr="008C43BA">
        <w:rPr>
          <w:rFonts w:ascii="Times New Roman" w:hAnsi="Times New Roman"/>
          <w:sz w:val="24"/>
          <w:szCs w:val="24"/>
        </w:rPr>
        <w:tab/>
      </w:r>
      <w:r w:rsidR="009D7E00" w:rsidRPr="008C43BA">
        <w:rPr>
          <w:rFonts w:ascii="Times New Roman" w:hAnsi="Times New Roman"/>
          <w:sz w:val="24"/>
          <w:szCs w:val="24"/>
        </w:rPr>
        <w:t>Jakov Bilić, mag.art</w:t>
      </w:r>
      <w:r w:rsidRPr="008C43BA">
        <w:rPr>
          <w:rFonts w:ascii="Times New Roman" w:hAnsi="Times New Roman"/>
          <w:sz w:val="24"/>
          <w:szCs w:val="24"/>
        </w:rPr>
        <w:t>.</w:t>
      </w:r>
    </w:p>
    <w:p w:rsidR="00A87323" w:rsidRPr="008C43BA" w:rsidRDefault="00A87323" w:rsidP="008C43BA">
      <w:pPr>
        <w:spacing w:line="276" w:lineRule="auto"/>
        <w:jc w:val="both"/>
        <w:rPr>
          <w:rFonts w:ascii="Times New Roman" w:hAnsi="Times New Roman"/>
          <w:sz w:val="24"/>
          <w:szCs w:val="24"/>
        </w:rPr>
      </w:pPr>
    </w:p>
    <w:p w:rsidR="00A87323" w:rsidRPr="008C43BA" w:rsidRDefault="00A87323" w:rsidP="008C43BA">
      <w:pPr>
        <w:spacing w:line="276" w:lineRule="auto"/>
        <w:jc w:val="both"/>
        <w:rPr>
          <w:rFonts w:ascii="Times New Roman" w:hAnsi="Times New Roman"/>
          <w:sz w:val="24"/>
          <w:szCs w:val="24"/>
        </w:rPr>
      </w:pPr>
    </w:p>
    <w:sectPr w:rsidR="00A87323" w:rsidRPr="008C4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297C"/>
    <w:multiLevelType w:val="hybridMultilevel"/>
    <w:tmpl w:val="6E6CA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503424"/>
    <w:multiLevelType w:val="hybridMultilevel"/>
    <w:tmpl w:val="68120A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8A6"/>
    <w:rsid w:val="00014BB9"/>
    <w:rsid w:val="00100E6D"/>
    <w:rsid w:val="001959A7"/>
    <w:rsid w:val="001A3705"/>
    <w:rsid w:val="0020477D"/>
    <w:rsid w:val="00211A0E"/>
    <w:rsid w:val="002404B1"/>
    <w:rsid w:val="00251E8E"/>
    <w:rsid w:val="002657DA"/>
    <w:rsid w:val="00293952"/>
    <w:rsid w:val="002A0129"/>
    <w:rsid w:val="003175DE"/>
    <w:rsid w:val="003321CF"/>
    <w:rsid w:val="003418A6"/>
    <w:rsid w:val="003B0733"/>
    <w:rsid w:val="004315C8"/>
    <w:rsid w:val="004C3F77"/>
    <w:rsid w:val="004D5DDA"/>
    <w:rsid w:val="00562261"/>
    <w:rsid w:val="00596534"/>
    <w:rsid w:val="005B77CD"/>
    <w:rsid w:val="005F2B94"/>
    <w:rsid w:val="00660583"/>
    <w:rsid w:val="0067151E"/>
    <w:rsid w:val="0070639D"/>
    <w:rsid w:val="00744497"/>
    <w:rsid w:val="00746FB6"/>
    <w:rsid w:val="008240ED"/>
    <w:rsid w:val="0084571D"/>
    <w:rsid w:val="00856782"/>
    <w:rsid w:val="008953D7"/>
    <w:rsid w:val="008C3F01"/>
    <w:rsid w:val="008C43BA"/>
    <w:rsid w:val="008D179E"/>
    <w:rsid w:val="00904A34"/>
    <w:rsid w:val="00907544"/>
    <w:rsid w:val="0093494B"/>
    <w:rsid w:val="00994742"/>
    <w:rsid w:val="00995CA4"/>
    <w:rsid w:val="009D7E00"/>
    <w:rsid w:val="00A87323"/>
    <w:rsid w:val="00AC44FB"/>
    <w:rsid w:val="00B27204"/>
    <w:rsid w:val="00B47AB7"/>
    <w:rsid w:val="00BA62A1"/>
    <w:rsid w:val="00BB7007"/>
    <w:rsid w:val="00BE7104"/>
    <w:rsid w:val="00C55756"/>
    <w:rsid w:val="00D043A3"/>
    <w:rsid w:val="00D439B2"/>
    <w:rsid w:val="00D6317C"/>
    <w:rsid w:val="00D9603E"/>
    <w:rsid w:val="00DC00DD"/>
    <w:rsid w:val="00E56820"/>
    <w:rsid w:val="00EB48C1"/>
    <w:rsid w:val="00ED3A0A"/>
    <w:rsid w:val="00EE681F"/>
    <w:rsid w:val="00F64463"/>
    <w:rsid w:val="00FB33EE"/>
    <w:rsid w:val="00FB4B00"/>
    <w:rsid w:val="00FC40EC"/>
    <w:rsid w:val="00FC47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A6"/>
    <w:pPr>
      <w:ind w:left="720"/>
      <w:contextualSpacing/>
    </w:pPr>
  </w:style>
  <w:style w:type="table" w:styleId="TableGrid">
    <w:name w:val="Table Grid"/>
    <w:basedOn w:val="TableNormal"/>
    <w:uiPriority w:val="39"/>
    <w:rsid w:val="00D4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Sanja</cp:lastModifiedBy>
  <cp:revision>3</cp:revision>
  <dcterms:created xsi:type="dcterms:W3CDTF">2021-02-01T09:51:00Z</dcterms:created>
  <dcterms:modified xsi:type="dcterms:W3CDTF">2021-02-01T11:23:00Z</dcterms:modified>
</cp:coreProperties>
</file>